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747B" w14:textId="1FDC76A4" w:rsidR="00B561F4" w:rsidRDefault="00B561F4" w:rsidP="00B561F4">
      <w:pPr>
        <w:pStyle w:val="Heading1"/>
        <w:rPr>
          <w:color w:val="42125F"/>
        </w:rPr>
      </w:pPr>
      <w:r>
        <w:rPr>
          <w:noProof/>
        </w:rPr>
        <w:t xml:space="preserve">                                                                                                                                                          </w:t>
      </w:r>
      <w:r w:rsidRPr="00B561F4">
        <w:rPr>
          <w:noProof/>
        </w:rPr>
        <w:drawing>
          <wp:inline distT="0" distB="0" distL="0" distR="0" wp14:anchorId="3638A9B4" wp14:editId="71A2CA88">
            <wp:extent cx="838567" cy="914400"/>
            <wp:effectExtent l="0" t="0" r="0" b="0"/>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43838" cy="920148"/>
                    </a:xfrm>
                    <a:prstGeom prst="rect">
                      <a:avLst/>
                    </a:prstGeom>
                    <a:noFill/>
                    <a:ln>
                      <a:noFill/>
                    </a:ln>
                  </pic:spPr>
                </pic:pic>
              </a:graphicData>
            </a:graphic>
          </wp:inline>
        </w:drawing>
      </w:r>
    </w:p>
    <w:p w14:paraId="10A1675F" w14:textId="7534161E" w:rsidR="000719FF" w:rsidRDefault="00855233">
      <w:pPr>
        <w:pStyle w:val="Title"/>
      </w:pPr>
      <w:r>
        <w:rPr>
          <w:color w:val="42125F"/>
        </w:rPr>
        <w:t>Foreign</w:t>
      </w:r>
      <w:r>
        <w:rPr>
          <w:color w:val="42125F"/>
          <w:spacing w:val="-3"/>
        </w:rPr>
        <w:t xml:space="preserve"> </w:t>
      </w:r>
      <w:r>
        <w:rPr>
          <w:color w:val="42125F"/>
        </w:rPr>
        <w:t>Exchange</w:t>
      </w:r>
      <w:r>
        <w:rPr>
          <w:color w:val="42125F"/>
          <w:spacing w:val="-3"/>
        </w:rPr>
        <w:t xml:space="preserve"> </w:t>
      </w:r>
      <w:r>
        <w:rPr>
          <w:color w:val="42125F"/>
        </w:rPr>
        <w:t>Means</w:t>
      </w:r>
      <w:r>
        <w:rPr>
          <w:color w:val="42125F"/>
          <w:spacing w:val="-2"/>
        </w:rPr>
        <w:t xml:space="preserve"> </w:t>
      </w:r>
      <w:r>
        <w:rPr>
          <w:color w:val="42125F"/>
        </w:rPr>
        <w:t>of</w:t>
      </w:r>
      <w:r>
        <w:rPr>
          <w:color w:val="42125F"/>
          <w:spacing w:val="-3"/>
        </w:rPr>
        <w:t xml:space="preserve"> </w:t>
      </w:r>
      <w:r>
        <w:rPr>
          <w:color w:val="42125F"/>
        </w:rPr>
        <w:t>Payment</w:t>
      </w:r>
      <w:r>
        <w:rPr>
          <w:color w:val="42125F"/>
          <w:spacing w:val="-3"/>
        </w:rPr>
        <w:t xml:space="preserve"> </w:t>
      </w:r>
      <w:r>
        <w:rPr>
          <w:color w:val="42125F"/>
          <w:spacing w:val="-2"/>
        </w:rPr>
        <w:t>Representation</w:t>
      </w:r>
    </w:p>
    <w:p w14:paraId="1B0754C6" w14:textId="77777777" w:rsidR="000719FF" w:rsidRDefault="000719FF">
      <w:pPr>
        <w:pStyle w:val="BodyText"/>
        <w:spacing w:before="11"/>
        <w:rPr>
          <w:b/>
          <w:sz w:val="20"/>
        </w:rPr>
      </w:pPr>
    </w:p>
    <w:p w14:paraId="034BE6B0" w14:textId="641A36D1" w:rsidR="000719FF" w:rsidRDefault="00855233">
      <w:pPr>
        <w:ind w:left="100"/>
        <w:rPr>
          <w:sz w:val="18"/>
        </w:rPr>
      </w:pPr>
      <w:r>
        <w:rPr>
          <w:i/>
          <w:sz w:val="18"/>
        </w:rPr>
        <w:t xml:space="preserve">Please complete this consent letter then </w:t>
      </w:r>
      <w:r w:rsidR="00971B4E">
        <w:rPr>
          <w:i/>
          <w:sz w:val="18"/>
        </w:rPr>
        <w:t xml:space="preserve">email a copy to </w:t>
      </w:r>
      <w:hyperlink r:id="rId8">
        <w:r>
          <w:rPr>
            <w:i/>
            <w:color w:val="0000FF"/>
            <w:sz w:val="18"/>
            <w:u w:val="single" w:color="0000FF"/>
          </w:rPr>
          <w:t>mifid2@natwestmarkets.com</w:t>
        </w:r>
      </w:hyperlink>
      <w:r>
        <w:rPr>
          <w:sz w:val="18"/>
        </w:rPr>
        <w:t>.</w:t>
      </w:r>
    </w:p>
    <w:p w14:paraId="11DDA0D1" w14:textId="77777777" w:rsidR="000719FF" w:rsidRDefault="000719FF">
      <w:pPr>
        <w:pStyle w:val="BodyText"/>
        <w:spacing w:before="6"/>
        <w:rPr>
          <w:sz w:val="12"/>
        </w:rPr>
      </w:pPr>
    </w:p>
    <w:p w14:paraId="7E6F3237" w14:textId="77777777" w:rsidR="000719FF" w:rsidRDefault="00855233">
      <w:pPr>
        <w:pStyle w:val="Heading1"/>
      </w:pPr>
      <w:r>
        <w:rPr>
          <w:color w:val="42125F"/>
          <w:spacing w:val="-2"/>
        </w:rPr>
        <w:t>Background</w:t>
      </w:r>
    </w:p>
    <w:p w14:paraId="0AE652FB" w14:textId="77777777" w:rsidR="000719FF" w:rsidRDefault="000719FF">
      <w:pPr>
        <w:pStyle w:val="BodyText"/>
        <w:spacing w:before="4"/>
        <w:rPr>
          <w:b/>
          <w:sz w:val="21"/>
        </w:rPr>
      </w:pPr>
    </w:p>
    <w:p w14:paraId="410A2958" w14:textId="6D4906AD" w:rsidR="000719FF" w:rsidRDefault="00855233">
      <w:pPr>
        <w:pStyle w:val="BodyText"/>
        <w:ind w:left="100" w:right="108"/>
        <w:jc w:val="both"/>
      </w:pPr>
      <w:r>
        <w:t>EU financial</w:t>
      </w:r>
      <w:r>
        <w:rPr>
          <w:spacing w:val="-2"/>
        </w:rPr>
        <w:t xml:space="preserve"> </w:t>
      </w:r>
      <w:r>
        <w:t>regulation</w:t>
      </w:r>
      <w:r>
        <w:rPr>
          <w:spacing w:val="-2"/>
        </w:rPr>
        <w:t xml:space="preserve"> </w:t>
      </w:r>
      <w:r>
        <w:t>which</w:t>
      </w:r>
      <w:r>
        <w:rPr>
          <w:spacing w:val="-2"/>
        </w:rPr>
        <w:t xml:space="preserve"> </w:t>
      </w:r>
      <w:r>
        <w:t>came</w:t>
      </w:r>
      <w:r>
        <w:rPr>
          <w:spacing w:val="-2"/>
        </w:rPr>
        <w:t xml:space="preserve"> </w:t>
      </w:r>
      <w:r>
        <w:t>into</w:t>
      </w:r>
      <w:r>
        <w:rPr>
          <w:spacing w:val="-2"/>
        </w:rPr>
        <w:t xml:space="preserve"> </w:t>
      </w:r>
      <w:r>
        <w:t>effect on 3</w:t>
      </w:r>
      <w:r>
        <w:rPr>
          <w:spacing w:val="-2"/>
        </w:rPr>
        <w:t xml:space="preserve"> </w:t>
      </w:r>
      <w:r>
        <w:t>January</w:t>
      </w:r>
      <w:r>
        <w:rPr>
          <w:spacing w:val="-1"/>
        </w:rPr>
        <w:t xml:space="preserve"> </w:t>
      </w:r>
      <w:r>
        <w:t>2018 changed the regulatory treatment of foreign exchange (FX) forward transactions. This means that corporates trading FX forward transactions with EU</w:t>
      </w:r>
      <w:r w:rsidR="00CB5DB4">
        <w:t xml:space="preserve"> and/or UK</w:t>
      </w:r>
      <w:r>
        <w:t xml:space="preserve"> banks</w:t>
      </w:r>
      <w:r w:rsidR="00CB5DB4">
        <w:t xml:space="preserve"> (as applicable)</w:t>
      </w:r>
      <w:r>
        <w:t xml:space="preserve"> either have to confirm that all their</w:t>
      </w:r>
      <w:r>
        <w:rPr>
          <w:spacing w:val="80"/>
        </w:rPr>
        <w:t xml:space="preserve"> </w:t>
      </w:r>
      <w:r>
        <w:t>FX</w:t>
      </w:r>
      <w:r>
        <w:rPr>
          <w:spacing w:val="-3"/>
        </w:rPr>
        <w:t xml:space="preserve"> </w:t>
      </w:r>
      <w:r>
        <w:t>transactions are</w:t>
      </w:r>
      <w:r>
        <w:rPr>
          <w:spacing w:val="-1"/>
        </w:rPr>
        <w:t xml:space="preserve"> </w:t>
      </w:r>
      <w:r>
        <w:t>entered</w:t>
      </w:r>
      <w:r>
        <w:rPr>
          <w:spacing w:val="-3"/>
        </w:rPr>
        <w:t xml:space="preserve"> </w:t>
      </w:r>
      <w:r>
        <w:t>into</w:t>
      </w:r>
      <w:r>
        <w:rPr>
          <w:spacing w:val="-1"/>
        </w:rPr>
        <w:t xml:space="preserve"> </w:t>
      </w:r>
      <w:r>
        <w:t>for</w:t>
      </w:r>
      <w:r>
        <w:rPr>
          <w:spacing w:val="-1"/>
        </w:rPr>
        <w:t xml:space="preserve"> </w:t>
      </w:r>
      <w:r>
        <w:t>the</w:t>
      </w:r>
      <w:r>
        <w:rPr>
          <w:spacing w:val="-1"/>
        </w:rPr>
        <w:t xml:space="preserve"> </w:t>
      </w:r>
      <w:r>
        <w:t>purposes of</w:t>
      </w:r>
      <w:r>
        <w:rPr>
          <w:spacing w:val="-1"/>
        </w:rPr>
        <w:t xml:space="preserve"> </w:t>
      </w:r>
      <w:r>
        <w:t>payment</w:t>
      </w:r>
      <w:r>
        <w:rPr>
          <w:spacing w:val="-3"/>
        </w:rPr>
        <w:t xml:space="preserve"> </w:t>
      </w:r>
      <w:r>
        <w:t>facilitation</w:t>
      </w:r>
      <w:r>
        <w:rPr>
          <w:spacing w:val="-1"/>
        </w:rPr>
        <w:t xml:space="preserve"> </w:t>
      </w:r>
      <w:r>
        <w:t>(criteria</w:t>
      </w:r>
      <w:r>
        <w:rPr>
          <w:spacing w:val="-1"/>
        </w:rPr>
        <w:t xml:space="preserve"> </w:t>
      </w:r>
      <w:r>
        <w:t>below),</w:t>
      </w:r>
      <w:r>
        <w:rPr>
          <w:spacing w:val="-1"/>
        </w:rPr>
        <w:t xml:space="preserve"> </w:t>
      </w:r>
      <w:r>
        <w:t>in</w:t>
      </w:r>
      <w:r>
        <w:rPr>
          <w:spacing w:val="-1"/>
        </w:rPr>
        <w:t xml:space="preserve"> </w:t>
      </w:r>
      <w:r>
        <w:t>which</w:t>
      </w:r>
      <w:r>
        <w:rPr>
          <w:spacing w:val="-1"/>
        </w:rPr>
        <w:t xml:space="preserve"> </w:t>
      </w:r>
      <w:r>
        <w:t>case</w:t>
      </w:r>
      <w:r>
        <w:rPr>
          <w:spacing w:val="-1"/>
        </w:rPr>
        <w:t xml:space="preserve"> </w:t>
      </w:r>
      <w:r>
        <w:t>those</w:t>
      </w:r>
      <w:r>
        <w:rPr>
          <w:spacing w:val="-1"/>
        </w:rPr>
        <w:t xml:space="preserve"> </w:t>
      </w:r>
      <w:r>
        <w:t>transactions</w:t>
      </w:r>
      <w:r>
        <w:rPr>
          <w:spacing w:val="-2"/>
        </w:rPr>
        <w:t xml:space="preserve"> </w:t>
      </w:r>
      <w:r>
        <w:t>will</w:t>
      </w:r>
      <w:r>
        <w:rPr>
          <w:spacing w:val="-1"/>
        </w:rPr>
        <w:t xml:space="preserve"> </w:t>
      </w:r>
      <w:r>
        <w:t>be</w:t>
      </w:r>
      <w:r>
        <w:rPr>
          <w:spacing w:val="-1"/>
        </w:rPr>
        <w:t xml:space="preserve"> </w:t>
      </w:r>
      <w:r>
        <w:t>out</w:t>
      </w:r>
      <w:r>
        <w:rPr>
          <w:spacing w:val="-1"/>
        </w:rPr>
        <w:t xml:space="preserve"> </w:t>
      </w:r>
      <w:r>
        <w:t>of scope of the regulations, or comply with obligations under the European Market Infrastructure Regulation (‘</w:t>
      </w:r>
      <w:r w:rsidRPr="00A56FE0">
        <w:t>EMIR’</w:t>
      </w:r>
      <w:r>
        <w:t>) and the second Markets in Financial Instruments Directive (‘</w:t>
      </w:r>
      <w:r w:rsidRPr="00A56FE0">
        <w:t>MiFID2’</w:t>
      </w:r>
      <w:r>
        <w:t>).</w:t>
      </w:r>
    </w:p>
    <w:p w14:paraId="3DE0FDB8" w14:textId="77777777" w:rsidR="000719FF" w:rsidRDefault="000719FF">
      <w:pPr>
        <w:pStyle w:val="BodyText"/>
        <w:rPr>
          <w:sz w:val="21"/>
        </w:rPr>
      </w:pPr>
    </w:p>
    <w:p w14:paraId="7B725322" w14:textId="1E40B319" w:rsidR="000719FF" w:rsidRDefault="00855233">
      <w:pPr>
        <w:pStyle w:val="BodyText"/>
        <w:ind w:left="100" w:right="119"/>
        <w:jc w:val="both"/>
      </w:pPr>
      <w:r>
        <w:t xml:space="preserve">For more information, </w:t>
      </w:r>
      <w:r w:rsidR="00CB5DB4">
        <w:t xml:space="preserve">please see details on our website </w:t>
      </w:r>
      <w:hyperlink r:id="rId9">
        <w:r w:rsidR="00CB5DB4">
          <w:rPr>
            <w:color w:val="0000FF"/>
            <w:u w:val="single" w:color="0000FF"/>
          </w:rPr>
          <w:t>here</w:t>
        </w:r>
        <w:r w:rsidR="00CB5DB4">
          <w:t>.</w:t>
        </w:r>
      </w:hyperlink>
      <w:r w:rsidR="00CB5DB4">
        <w:t xml:space="preserve"> </w:t>
      </w:r>
      <w:r w:rsidR="00A56FE0">
        <w:t>In addition, Financial Conduct Authority (FCA) guidance</w:t>
      </w:r>
      <w:r>
        <w:t>, including examples of types of transactions consider</w:t>
      </w:r>
      <w:r w:rsidR="00A56FE0">
        <w:t>ed</w:t>
      </w:r>
      <w:r>
        <w:t xml:space="preserve"> </w:t>
      </w:r>
      <w:r w:rsidR="00A56FE0">
        <w:t xml:space="preserve">to be </w:t>
      </w:r>
      <w:r>
        <w:t>in and out of scope of this exclusion</w:t>
      </w:r>
      <w:r w:rsidR="00554568">
        <w:t>,</w:t>
      </w:r>
      <w:r w:rsidR="00A56FE0">
        <w:t xml:space="preserve"> can be viewed </w:t>
      </w:r>
      <w:hyperlink r:id="rId10" w:history="1">
        <w:r w:rsidR="00A56FE0" w:rsidRPr="00A56FE0">
          <w:rPr>
            <w:rStyle w:val="Hyperlink"/>
          </w:rPr>
          <w:t>here</w:t>
        </w:r>
      </w:hyperlink>
      <w:r w:rsidR="00A56FE0">
        <w:t>.</w:t>
      </w:r>
    </w:p>
    <w:p w14:paraId="6BEC30A4" w14:textId="77777777" w:rsidR="000719FF" w:rsidRDefault="000719FF">
      <w:pPr>
        <w:pStyle w:val="BodyText"/>
        <w:spacing w:before="4"/>
        <w:rPr>
          <w:sz w:val="12"/>
        </w:rPr>
      </w:pPr>
    </w:p>
    <w:p w14:paraId="5F12F5FE" w14:textId="77777777" w:rsidR="000719FF" w:rsidRDefault="00855233">
      <w:pPr>
        <w:pStyle w:val="Heading1"/>
      </w:pPr>
      <w:r>
        <w:rPr>
          <w:color w:val="42125F"/>
        </w:rPr>
        <w:t>Foreign</w:t>
      </w:r>
      <w:r>
        <w:rPr>
          <w:color w:val="42125F"/>
          <w:spacing w:val="-9"/>
        </w:rPr>
        <w:t xml:space="preserve"> </w:t>
      </w:r>
      <w:r>
        <w:rPr>
          <w:color w:val="42125F"/>
        </w:rPr>
        <w:t>Exchange</w:t>
      </w:r>
      <w:r>
        <w:rPr>
          <w:color w:val="42125F"/>
          <w:spacing w:val="-7"/>
        </w:rPr>
        <w:t xml:space="preserve"> </w:t>
      </w:r>
      <w:r>
        <w:rPr>
          <w:color w:val="42125F"/>
        </w:rPr>
        <w:t>Means</w:t>
      </w:r>
      <w:r>
        <w:rPr>
          <w:color w:val="42125F"/>
          <w:spacing w:val="-9"/>
        </w:rPr>
        <w:t xml:space="preserve"> </w:t>
      </w:r>
      <w:r>
        <w:rPr>
          <w:color w:val="42125F"/>
        </w:rPr>
        <w:t>of</w:t>
      </w:r>
      <w:r>
        <w:rPr>
          <w:color w:val="42125F"/>
          <w:spacing w:val="-8"/>
        </w:rPr>
        <w:t xml:space="preserve"> </w:t>
      </w:r>
      <w:r>
        <w:rPr>
          <w:color w:val="42125F"/>
        </w:rPr>
        <w:t>Payment</w:t>
      </w:r>
      <w:r>
        <w:rPr>
          <w:color w:val="42125F"/>
          <w:spacing w:val="-9"/>
        </w:rPr>
        <w:t xml:space="preserve"> </w:t>
      </w:r>
      <w:r>
        <w:rPr>
          <w:color w:val="42125F"/>
          <w:spacing w:val="-2"/>
        </w:rPr>
        <w:t>Representation</w:t>
      </w:r>
    </w:p>
    <w:p w14:paraId="7573F932" w14:textId="77777777" w:rsidR="000719FF" w:rsidRDefault="000719FF">
      <w:pPr>
        <w:pStyle w:val="BodyText"/>
        <w:spacing w:before="3"/>
        <w:rPr>
          <w:b/>
          <w:sz w:val="21"/>
        </w:rPr>
      </w:pPr>
    </w:p>
    <w:p w14:paraId="7D2BF0E4" w14:textId="77777777" w:rsidR="000719FF" w:rsidRDefault="00855233">
      <w:pPr>
        <w:pStyle w:val="BodyText"/>
        <w:ind w:left="100"/>
      </w:pPr>
      <w:r>
        <w:t>I/We</w:t>
      </w:r>
      <w:r>
        <w:rPr>
          <w:spacing w:val="-4"/>
        </w:rPr>
        <w:t xml:space="preserve"> </w:t>
      </w:r>
      <w:r>
        <w:t>represent</w:t>
      </w:r>
      <w:r>
        <w:rPr>
          <w:spacing w:val="-1"/>
        </w:rPr>
        <w:t xml:space="preserve"> </w:t>
      </w:r>
      <w:r>
        <w:t>for</w:t>
      </w:r>
      <w:r>
        <w:rPr>
          <w:spacing w:val="-2"/>
        </w:rPr>
        <w:t xml:space="preserve"> </w:t>
      </w:r>
      <w:r>
        <w:t>and</w:t>
      </w:r>
      <w:r>
        <w:rPr>
          <w:spacing w:val="-1"/>
        </w:rPr>
        <w:t xml:space="preserve"> </w:t>
      </w:r>
      <w:r>
        <w:t>on</w:t>
      </w:r>
      <w:r>
        <w:rPr>
          <w:spacing w:val="-3"/>
        </w:rPr>
        <w:t xml:space="preserve"> </w:t>
      </w:r>
      <w:r>
        <w:t>behalf</w:t>
      </w:r>
      <w:r>
        <w:rPr>
          <w:spacing w:val="-2"/>
        </w:rPr>
        <w:t xml:space="preserve"> </w:t>
      </w:r>
      <w:r>
        <w:t>of</w:t>
      </w:r>
      <w:r>
        <w:rPr>
          <w:spacing w:val="-3"/>
        </w:rPr>
        <w:t xml:space="preserve"> </w:t>
      </w:r>
      <w:r>
        <w:t>the</w:t>
      </w:r>
      <w:r>
        <w:rPr>
          <w:spacing w:val="-3"/>
        </w:rPr>
        <w:t xml:space="preserve"> </w:t>
      </w:r>
      <w:r>
        <w:t>legal</w:t>
      </w:r>
      <w:r>
        <w:rPr>
          <w:spacing w:val="-1"/>
        </w:rPr>
        <w:t xml:space="preserve"> </w:t>
      </w:r>
      <w:r>
        <w:t>entity</w:t>
      </w:r>
      <w:r>
        <w:rPr>
          <w:spacing w:val="-3"/>
        </w:rPr>
        <w:t xml:space="preserve"> </w:t>
      </w:r>
      <w:r>
        <w:t>named</w:t>
      </w:r>
      <w:r>
        <w:rPr>
          <w:spacing w:val="-1"/>
        </w:rPr>
        <w:t xml:space="preserve"> </w:t>
      </w:r>
      <w:r>
        <w:t>below</w:t>
      </w:r>
      <w:r>
        <w:rPr>
          <w:spacing w:val="-4"/>
        </w:rPr>
        <w:t xml:space="preserve"> </w:t>
      </w:r>
      <w:r>
        <w:t>(the</w:t>
      </w:r>
      <w:r>
        <w:rPr>
          <w:spacing w:val="-2"/>
        </w:rPr>
        <w:t xml:space="preserve"> </w:t>
      </w:r>
      <w:r>
        <w:t>‘Named</w:t>
      </w:r>
      <w:r>
        <w:rPr>
          <w:spacing w:val="-1"/>
        </w:rPr>
        <w:t xml:space="preserve"> </w:t>
      </w:r>
      <w:r>
        <w:t>Entity’)</w:t>
      </w:r>
      <w:r>
        <w:rPr>
          <w:spacing w:val="-1"/>
        </w:rPr>
        <w:t xml:space="preserve"> </w:t>
      </w:r>
      <w:r>
        <w:rPr>
          <w:spacing w:val="-2"/>
        </w:rPr>
        <w:t>that:</w:t>
      </w:r>
    </w:p>
    <w:p w14:paraId="19C5533E" w14:textId="77777777" w:rsidR="000719FF" w:rsidRDefault="000719FF">
      <w:pPr>
        <w:pStyle w:val="BodyText"/>
        <w:rPr>
          <w:sz w:val="21"/>
        </w:rPr>
      </w:pPr>
    </w:p>
    <w:p w14:paraId="4217211A" w14:textId="0BA17CB7" w:rsidR="000719FF" w:rsidRDefault="00855233">
      <w:pPr>
        <w:pStyle w:val="ListParagraph"/>
        <w:numPr>
          <w:ilvl w:val="0"/>
          <w:numId w:val="1"/>
        </w:numPr>
        <w:tabs>
          <w:tab w:val="left" w:pos="821"/>
        </w:tabs>
        <w:spacing w:line="237" w:lineRule="auto"/>
        <w:ind w:right="114"/>
        <w:jc w:val="both"/>
        <w:rPr>
          <w:sz w:val="18"/>
        </w:rPr>
      </w:pPr>
      <w:r>
        <w:rPr>
          <w:sz w:val="18"/>
        </w:rPr>
        <w:t xml:space="preserve">The Named Entity is a </w:t>
      </w:r>
      <w:r w:rsidRPr="00B10F3E">
        <w:rPr>
          <w:sz w:val="18"/>
        </w:rPr>
        <w:t>non-financial counterparty (‘NFC’) as defined under EMIR (Article 2(</w:t>
      </w:r>
      <w:r w:rsidR="00B10F3E" w:rsidRPr="00B10F3E">
        <w:rPr>
          <w:sz w:val="18"/>
        </w:rPr>
        <w:t>9</w:t>
      </w:r>
      <w:r w:rsidRPr="00B10F3E">
        <w:rPr>
          <w:sz w:val="18"/>
        </w:rPr>
        <w:t>)</w:t>
      </w:r>
      <w:r>
        <w:rPr>
          <w:sz w:val="18"/>
        </w:rPr>
        <w:t xml:space="preserve"> of Regulation (EU) No</w:t>
      </w:r>
      <w:r>
        <w:rPr>
          <w:spacing w:val="40"/>
          <w:sz w:val="18"/>
        </w:rPr>
        <w:t xml:space="preserve"> </w:t>
      </w:r>
      <w:r>
        <w:rPr>
          <w:sz w:val="18"/>
        </w:rPr>
        <w:t>648/2012 of the European Parliament and the Council</w:t>
      </w:r>
      <w:r w:rsidR="00A56FE0">
        <w:rPr>
          <w:sz w:val="18"/>
        </w:rPr>
        <w:t>)</w:t>
      </w:r>
      <w:r>
        <w:rPr>
          <w:sz w:val="18"/>
        </w:rPr>
        <w:t xml:space="preserve"> </w:t>
      </w:r>
      <w:r>
        <w:rPr>
          <w:i/>
          <w:sz w:val="18"/>
        </w:rPr>
        <w:t>(i.e.</w:t>
      </w:r>
      <w:r>
        <w:rPr>
          <w:iCs/>
          <w:sz w:val="18"/>
        </w:rPr>
        <w:t>,</w:t>
      </w:r>
      <w:r>
        <w:rPr>
          <w:i/>
          <w:sz w:val="18"/>
        </w:rPr>
        <w:t xml:space="preserve"> is a corporate entity rather than a financial institution</w:t>
      </w:r>
      <w:r w:rsidR="00B922A9">
        <w:rPr>
          <w:i/>
          <w:sz w:val="18"/>
        </w:rPr>
        <w:t>)</w:t>
      </w:r>
      <w:r w:rsidR="00B922A9">
        <w:rPr>
          <w:sz w:val="18"/>
        </w:rPr>
        <w:t>.</w:t>
      </w:r>
    </w:p>
    <w:p w14:paraId="0C5DC966" w14:textId="77777777" w:rsidR="000719FF" w:rsidRDefault="000719FF">
      <w:pPr>
        <w:pStyle w:val="BodyText"/>
        <w:spacing w:before="4"/>
        <w:rPr>
          <w:sz w:val="21"/>
        </w:rPr>
      </w:pPr>
    </w:p>
    <w:p w14:paraId="05041790" w14:textId="3CAFEE19" w:rsidR="000719FF" w:rsidRDefault="00855233">
      <w:pPr>
        <w:pStyle w:val="ListParagraph"/>
        <w:numPr>
          <w:ilvl w:val="0"/>
          <w:numId w:val="1"/>
        </w:numPr>
        <w:tabs>
          <w:tab w:val="left" w:pos="821"/>
        </w:tabs>
        <w:spacing w:line="237" w:lineRule="auto"/>
        <w:ind w:right="109"/>
        <w:jc w:val="both"/>
        <w:rPr>
          <w:sz w:val="18"/>
        </w:rPr>
      </w:pPr>
      <w:proofErr w:type="gramStart"/>
      <w:r>
        <w:rPr>
          <w:sz w:val="18"/>
        </w:rPr>
        <w:t>Each and every</w:t>
      </w:r>
      <w:proofErr w:type="gramEnd"/>
      <w:r>
        <w:rPr>
          <w:sz w:val="18"/>
        </w:rPr>
        <w:t xml:space="preserve"> foreign exchange transaction entered into on or after the date below between the Named Entity and NatWest Markets</w:t>
      </w:r>
      <w:r w:rsidR="00554568">
        <w:rPr>
          <w:sz w:val="18"/>
        </w:rPr>
        <w:t xml:space="preserve"> </w:t>
      </w:r>
      <w:r w:rsidR="00612135">
        <w:rPr>
          <w:sz w:val="18"/>
        </w:rPr>
        <w:t>Plc, NatWest</w:t>
      </w:r>
      <w:r>
        <w:rPr>
          <w:sz w:val="18"/>
        </w:rPr>
        <w:t xml:space="preserve"> Markets N.V. and/or National Westminster Bank Plc is a ‘Means of Payment Transaction’</w:t>
      </w:r>
      <w:r>
        <w:rPr>
          <w:position w:val="6"/>
          <w:sz w:val="12"/>
        </w:rPr>
        <w:t>1</w:t>
      </w:r>
      <w:r>
        <w:rPr>
          <w:spacing w:val="31"/>
          <w:position w:val="6"/>
          <w:sz w:val="12"/>
        </w:rPr>
        <w:t xml:space="preserve"> </w:t>
      </w:r>
      <w:r>
        <w:rPr>
          <w:sz w:val="18"/>
        </w:rPr>
        <w:t>pursuant to Article 10</w:t>
      </w:r>
      <w:r w:rsidR="00195FD9">
        <w:rPr>
          <w:sz w:val="18"/>
        </w:rPr>
        <w:t>(1)</w:t>
      </w:r>
      <w:r>
        <w:rPr>
          <w:sz w:val="18"/>
        </w:rPr>
        <w:t xml:space="preserve">(b) Commission Delegated Regulation (EU) </w:t>
      </w:r>
      <w:r w:rsidR="00B922A9">
        <w:rPr>
          <w:sz w:val="18"/>
        </w:rPr>
        <w:t>2017/565.</w:t>
      </w:r>
    </w:p>
    <w:p w14:paraId="0908AA0F" w14:textId="77777777" w:rsidR="000719FF" w:rsidRDefault="000719FF">
      <w:pPr>
        <w:pStyle w:val="BodyText"/>
        <w:spacing w:before="3"/>
        <w:rPr>
          <w:sz w:val="20"/>
        </w:rPr>
      </w:pPr>
    </w:p>
    <w:p w14:paraId="2C70C483" w14:textId="3D4296E6" w:rsidR="000719FF" w:rsidRDefault="00855233">
      <w:pPr>
        <w:ind w:left="820" w:right="109"/>
        <w:jc w:val="both"/>
        <w:rPr>
          <w:i/>
          <w:sz w:val="18"/>
        </w:rPr>
      </w:pPr>
      <w:r w:rsidRPr="00CC7AB1">
        <w:rPr>
          <w:iCs/>
          <w:position w:val="6"/>
          <w:sz w:val="12"/>
        </w:rPr>
        <w:t>1</w:t>
      </w:r>
      <w:r>
        <w:rPr>
          <w:i/>
          <w:sz w:val="18"/>
        </w:rPr>
        <w:t xml:space="preserve">A “Means of Payment Transaction” means a transaction that is physically settled (otherwise than by reason of a default or other termination event), is entered into </w:t>
      </w:r>
      <w:proofErr w:type="gramStart"/>
      <w:r>
        <w:rPr>
          <w:i/>
          <w:sz w:val="18"/>
        </w:rPr>
        <w:t>in order to</w:t>
      </w:r>
      <w:proofErr w:type="gramEnd"/>
      <w:r>
        <w:rPr>
          <w:i/>
          <w:sz w:val="18"/>
        </w:rPr>
        <w:t xml:space="preserve"> facilitate payment for identifiable goods, services or direct investments,</w:t>
      </w:r>
      <w:r>
        <w:rPr>
          <w:i/>
          <w:spacing w:val="80"/>
          <w:sz w:val="18"/>
        </w:rPr>
        <w:t xml:space="preserve"> </w:t>
      </w:r>
      <w:r>
        <w:rPr>
          <w:i/>
          <w:sz w:val="18"/>
        </w:rPr>
        <w:t>and is not traded on a trading venue.</w:t>
      </w:r>
    </w:p>
    <w:p w14:paraId="7D2F9EDE" w14:textId="77777777" w:rsidR="000719FF" w:rsidRDefault="000719FF">
      <w:pPr>
        <w:pStyle w:val="BodyText"/>
        <w:spacing w:before="1"/>
        <w:rPr>
          <w:i/>
          <w:sz w:val="21"/>
        </w:rPr>
      </w:pPr>
    </w:p>
    <w:p w14:paraId="26EE9D37" w14:textId="77777777" w:rsidR="000719FF" w:rsidRDefault="00855233">
      <w:pPr>
        <w:pStyle w:val="ListParagraph"/>
        <w:numPr>
          <w:ilvl w:val="0"/>
          <w:numId w:val="1"/>
        </w:numPr>
        <w:tabs>
          <w:tab w:val="left" w:pos="821"/>
        </w:tabs>
        <w:spacing w:before="1"/>
        <w:jc w:val="both"/>
        <w:rPr>
          <w:sz w:val="18"/>
        </w:rPr>
      </w:pPr>
      <w:r>
        <w:rPr>
          <w:sz w:val="18"/>
        </w:rPr>
        <w:t xml:space="preserve">I/We have read this letter and the explanatory information provided on </w:t>
      </w:r>
      <w:hyperlink r:id="rId11">
        <w:r>
          <w:rPr>
            <w:color w:val="0000FF"/>
            <w:sz w:val="18"/>
            <w:u w:val="single" w:color="0000FF"/>
          </w:rPr>
          <w:t>NWM website</w:t>
        </w:r>
        <w:r>
          <w:rPr>
            <w:sz w:val="18"/>
          </w:rPr>
          <w:t xml:space="preserve">, </w:t>
        </w:r>
      </w:hyperlink>
      <w:r>
        <w:rPr>
          <w:sz w:val="18"/>
        </w:rPr>
        <w:t>seeking independent advice where necessary, and understand what is meant by a Means of Payment Transaction; and</w:t>
      </w:r>
    </w:p>
    <w:p w14:paraId="2B12167B" w14:textId="77777777" w:rsidR="000719FF" w:rsidRDefault="000719FF">
      <w:pPr>
        <w:pStyle w:val="BodyText"/>
        <w:spacing w:before="8"/>
        <w:rPr>
          <w:sz w:val="20"/>
        </w:rPr>
      </w:pPr>
    </w:p>
    <w:p w14:paraId="6FF53BCE" w14:textId="548B4920" w:rsidR="000719FF" w:rsidRDefault="00855233">
      <w:pPr>
        <w:pStyle w:val="ListParagraph"/>
        <w:numPr>
          <w:ilvl w:val="0"/>
          <w:numId w:val="1"/>
        </w:numPr>
        <w:tabs>
          <w:tab w:val="left" w:pos="821"/>
        </w:tabs>
        <w:jc w:val="both"/>
        <w:rPr>
          <w:sz w:val="18"/>
        </w:rPr>
      </w:pPr>
      <w:r>
        <w:rPr>
          <w:sz w:val="18"/>
        </w:rPr>
        <w:t xml:space="preserve">The Named Entity will notify NatWest Markets Plc or NatWest Markets N.V. or National Westminster Bank Plc, as the context may require, of any transaction that does not qualify for the exclusion prior to entry into the relevant transaction </w:t>
      </w:r>
      <w:r>
        <w:rPr>
          <w:i/>
          <w:sz w:val="18"/>
        </w:rPr>
        <w:t>(e.g., trading is for speculative purposes or for the purposes of general hedging of balance sheet)</w:t>
      </w:r>
      <w:r>
        <w:rPr>
          <w:sz w:val="18"/>
        </w:rPr>
        <w:t>.</w:t>
      </w:r>
    </w:p>
    <w:p w14:paraId="337C2925" w14:textId="77777777" w:rsidR="0017485F" w:rsidRDefault="0017485F">
      <w:pPr>
        <w:spacing w:before="1"/>
        <w:ind w:left="666" w:right="556"/>
        <w:jc w:val="both"/>
        <w:rPr>
          <w:sz w:val="16"/>
        </w:rPr>
      </w:pPr>
    </w:p>
    <w:tbl>
      <w:tblPr>
        <w:tblpPr w:leftFromText="180" w:rightFromText="180" w:vertAnchor="text" w:horzAnchor="margin" w:tblpXSpec="right" w:tblpY="-11"/>
        <w:tblW w:w="0" w:type="auto"/>
        <w:tblLayout w:type="fixed"/>
        <w:tblCellMar>
          <w:left w:w="0" w:type="dxa"/>
          <w:right w:w="0" w:type="dxa"/>
        </w:tblCellMar>
        <w:tblLook w:val="01E0" w:firstRow="1" w:lastRow="1" w:firstColumn="1" w:lastColumn="1" w:noHBand="0" w:noVBand="0"/>
      </w:tblPr>
      <w:tblGrid>
        <w:gridCol w:w="2800"/>
        <w:gridCol w:w="7275"/>
      </w:tblGrid>
      <w:tr w:rsidR="0017485F" w14:paraId="30DEDD8B" w14:textId="77777777" w:rsidTr="00EF1BDD">
        <w:trPr>
          <w:trHeight w:val="156"/>
        </w:trPr>
        <w:tc>
          <w:tcPr>
            <w:tcW w:w="2800" w:type="dxa"/>
            <w:vAlign w:val="center"/>
          </w:tcPr>
          <w:p w14:paraId="1038375D" w14:textId="77777777" w:rsidR="0017485F" w:rsidRPr="00CB5DB4" w:rsidRDefault="0017485F" w:rsidP="0017485F">
            <w:pPr>
              <w:pStyle w:val="TableParagraph"/>
              <w:spacing w:before="0" w:line="201" w:lineRule="exact"/>
              <w:rPr>
                <w:b/>
                <w:sz w:val="18"/>
              </w:rPr>
            </w:pPr>
            <w:r w:rsidRPr="00CB5DB4">
              <w:rPr>
                <w:b/>
                <w:spacing w:val="-2"/>
                <w:sz w:val="18"/>
              </w:rPr>
              <w:t>Date:</w:t>
            </w:r>
          </w:p>
        </w:tc>
        <w:tc>
          <w:tcPr>
            <w:tcW w:w="7275" w:type="dxa"/>
            <w:vAlign w:val="center"/>
          </w:tcPr>
          <w:p w14:paraId="57B0B364" w14:textId="77777777" w:rsidR="0017485F" w:rsidRDefault="0017485F" w:rsidP="0017485F">
            <w:pPr>
              <w:pStyle w:val="TableParagraph"/>
              <w:spacing w:before="0" w:line="228" w:lineRule="exact"/>
              <w:ind w:left="251"/>
              <w:jc w:val="right"/>
              <w:rPr>
                <w:rFonts w:ascii="Book Antiqua"/>
                <w:sz w:val="20"/>
              </w:rPr>
            </w:pPr>
          </w:p>
        </w:tc>
      </w:tr>
      <w:tr w:rsidR="0017485F" w14:paraId="463FB69B" w14:textId="77777777" w:rsidTr="00EF1BDD">
        <w:trPr>
          <w:trHeight w:val="210"/>
        </w:trPr>
        <w:tc>
          <w:tcPr>
            <w:tcW w:w="2800" w:type="dxa"/>
            <w:vAlign w:val="center"/>
          </w:tcPr>
          <w:p w14:paraId="70E5EBA5" w14:textId="77777777" w:rsidR="0017485F" w:rsidRPr="00CB5DB4" w:rsidRDefault="0017485F" w:rsidP="0017485F">
            <w:pPr>
              <w:pStyle w:val="TableParagraph"/>
              <w:rPr>
                <w:b/>
                <w:sz w:val="18"/>
              </w:rPr>
            </w:pPr>
            <w:r w:rsidRPr="00CB5DB4">
              <w:rPr>
                <w:b/>
                <w:sz w:val="18"/>
              </w:rPr>
              <w:t>Full</w:t>
            </w:r>
            <w:r w:rsidRPr="00CB5DB4">
              <w:rPr>
                <w:b/>
                <w:spacing w:val="-2"/>
                <w:sz w:val="18"/>
              </w:rPr>
              <w:t xml:space="preserve"> </w:t>
            </w:r>
            <w:r w:rsidRPr="00CB5DB4">
              <w:rPr>
                <w:b/>
                <w:sz w:val="18"/>
              </w:rPr>
              <w:t>Legal</w:t>
            </w:r>
            <w:r w:rsidRPr="00CB5DB4">
              <w:rPr>
                <w:b/>
                <w:spacing w:val="-2"/>
                <w:sz w:val="18"/>
              </w:rPr>
              <w:t xml:space="preserve"> </w:t>
            </w:r>
            <w:r w:rsidRPr="00CB5DB4">
              <w:rPr>
                <w:b/>
                <w:sz w:val="18"/>
              </w:rPr>
              <w:t>Name of</w:t>
            </w:r>
            <w:r w:rsidRPr="00CB5DB4">
              <w:rPr>
                <w:b/>
                <w:spacing w:val="-2"/>
                <w:sz w:val="18"/>
              </w:rPr>
              <w:t xml:space="preserve"> Entity:</w:t>
            </w:r>
          </w:p>
        </w:tc>
        <w:tc>
          <w:tcPr>
            <w:tcW w:w="7275" w:type="dxa"/>
            <w:vAlign w:val="center"/>
          </w:tcPr>
          <w:p w14:paraId="3F8E0417" w14:textId="77777777" w:rsidR="0017485F" w:rsidRDefault="0017485F" w:rsidP="0017485F">
            <w:pPr>
              <w:pStyle w:val="TableParagraph"/>
              <w:spacing w:before="143"/>
              <w:ind w:left="251"/>
              <w:jc w:val="right"/>
              <w:rPr>
                <w:rFonts w:ascii="Calibri"/>
                <w:sz w:val="18"/>
              </w:rPr>
            </w:pPr>
          </w:p>
        </w:tc>
      </w:tr>
      <w:tr w:rsidR="0017485F" w14:paraId="1EA0F2A0" w14:textId="77777777" w:rsidTr="00EF1BDD">
        <w:trPr>
          <w:trHeight w:val="204"/>
        </w:trPr>
        <w:tc>
          <w:tcPr>
            <w:tcW w:w="2800" w:type="dxa"/>
            <w:vAlign w:val="center"/>
          </w:tcPr>
          <w:p w14:paraId="154D2064" w14:textId="77777777" w:rsidR="0017485F" w:rsidRPr="00CB5DB4" w:rsidRDefault="0017485F" w:rsidP="0017485F">
            <w:pPr>
              <w:pStyle w:val="TableParagraph"/>
              <w:spacing w:before="100"/>
              <w:rPr>
                <w:b/>
                <w:sz w:val="18"/>
              </w:rPr>
            </w:pPr>
            <w:r w:rsidRPr="00CB5DB4">
              <w:rPr>
                <w:b/>
                <w:sz w:val="18"/>
              </w:rPr>
              <w:t>Address</w:t>
            </w:r>
            <w:r w:rsidRPr="00CB5DB4">
              <w:rPr>
                <w:b/>
                <w:spacing w:val="-4"/>
                <w:sz w:val="18"/>
              </w:rPr>
              <w:t xml:space="preserve"> </w:t>
            </w:r>
            <w:r w:rsidRPr="00CB5DB4">
              <w:rPr>
                <w:b/>
                <w:sz w:val="18"/>
              </w:rPr>
              <w:t>of</w:t>
            </w:r>
            <w:r w:rsidRPr="00CB5DB4">
              <w:rPr>
                <w:b/>
                <w:spacing w:val="-4"/>
                <w:sz w:val="18"/>
              </w:rPr>
              <w:t xml:space="preserve"> </w:t>
            </w:r>
            <w:r w:rsidRPr="00CB5DB4">
              <w:rPr>
                <w:b/>
                <w:spacing w:val="-2"/>
                <w:sz w:val="18"/>
              </w:rPr>
              <w:t>Entity:</w:t>
            </w:r>
          </w:p>
        </w:tc>
        <w:tc>
          <w:tcPr>
            <w:tcW w:w="7275" w:type="dxa"/>
            <w:vAlign w:val="center"/>
          </w:tcPr>
          <w:p w14:paraId="4AE06C20" w14:textId="77777777" w:rsidR="0017485F" w:rsidRDefault="0017485F" w:rsidP="0017485F">
            <w:pPr>
              <w:pStyle w:val="TableParagraph"/>
              <w:spacing w:before="85"/>
              <w:ind w:left="251"/>
              <w:jc w:val="right"/>
              <w:rPr>
                <w:rFonts w:ascii="Book Antiqua"/>
                <w:sz w:val="20"/>
              </w:rPr>
            </w:pPr>
          </w:p>
        </w:tc>
      </w:tr>
      <w:tr w:rsidR="0017485F" w14:paraId="7BCF595B" w14:textId="77777777" w:rsidTr="00EF1BDD">
        <w:trPr>
          <w:trHeight w:val="215"/>
        </w:trPr>
        <w:tc>
          <w:tcPr>
            <w:tcW w:w="2800" w:type="dxa"/>
            <w:vAlign w:val="center"/>
          </w:tcPr>
          <w:p w14:paraId="1F88A64A" w14:textId="77777777" w:rsidR="0017485F" w:rsidRPr="00CB5DB4" w:rsidRDefault="0017485F" w:rsidP="0017485F">
            <w:pPr>
              <w:pStyle w:val="TableParagraph"/>
              <w:rPr>
                <w:b/>
                <w:sz w:val="18"/>
              </w:rPr>
            </w:pPr>
            <w:r w:rsidRPr="00CB5DB4">
              <w:rPr>
                <w:b/>
                <w:w w:val="95"/>
                <w:sz w:val="18"/>
              </w:rPr>
              <w:t>Company</w:t>
            </w:r>
            <w:r w:rsidRPr="00CB5DB4">
              <w:rPr>
                <w:b/>
                <w:spacing w:val="27"/>
                <w:sz w:val="18"/>
              </w:rPr>
              <w:t xml:space="preserve"> </w:t>
            </w:r>
            <w:r w:rsidRPr="00CB5DB4">
              <w:rPr>
                <w:b/>
                <w:w w:val="95"/>
                <w:sz w:val="18"/>
              </w:rPr>
              <w:t>Registration</w:t>
            </w:r>
            <w:r w:rsidRPr="00CB5DB4">
              <w:rPr>
                <w:b/>
                <w:spacing w:val="41"/>
                <w:sz w:val="18"/>
              </w:rPr>
              <w:t xml:space="preserve"> </w:t>
            </w:r>
            <w:r w:rsidRPr="00CB5DB4">
              <w:rPr>
                <w:b/>
                <w:spacing w:val="-4"/>
                <w:w w:val="95"/>
                <w:sz w:val="18"/>
              </w:rPr>
              <w:t>No.:</w:t>
            </w:r>
          </w:p>
        </w:tc>
        <w:tc>
          <w:tcPr>
            <w:tcW w:w="7275" w:type="dxa"/>
            <w:vAlign w:val="center"/>
          </w:tcPr>
          <w:p w14:paraId="58602745" w14:textId="77777777" w:rsidR="0017485F" w:rsidRDefault="0017485F" w:rsidP="0017485F">
            <w:pPr>
              <w:pStyle w:val="TableParagraph"/>
              <w:tabs>
                <w:tab w:val="left" w:pos="3869"/>
              </w:tabs>
              <w:spacing w:before="106"/>
              <w:ind w:left="0"/>
              <w:jc w:val="right"/>
              <w:rPr>
                <w:i/>
                <w:sz w:val="14"/>
              </w:rPr>
            </w:pPr>
            <w:r>
              <w:rPr>
                <w:i/>
                <w:sz w:val="14"/>
              </w:rPr>
              <w:t>if</w:t>
            </w:r>
            <w:r>
              <w:rPr>
                <w:i/>
                <w:spacing w:val="-7"/>
                <w:sz w:val="14"/>
              </w:rPr>
              <w:t xml:space="preserve"> </w:t>
            </w:r>
            <w:r>
              <w:rPr>
                <w:i/>
                <w:sz w:val="14"/>
              </w:rPr>
              <w:t>available,</w:t>
            </w:r>
            <w:r>
              <w:rPr>
                <w:i/>
                <w:spacing w:val="-4"/>
                <w:sz w:val="14"/>
              </w:rPr>
              <w:t xml:space="preserve"> </w:t>
            </w:r>
            <w:r>
              <w:rPr>
                <w:i/>
                <w:sz w:val="14"/>
              </w:rPr>
              <w:t>not</w:t>
            </w:r>
            <w:r>
              <w:rPr>
                <w:i/>
                <w:spacing w:val="-5"/>
                <w:sz w:val="14"/>
              </w:rPr>
              <w:t xml:space="preserve"> </w:t>
            </w:r>
            <w:r>
              <w:rPr>
                <w:i/>
                <w:spacing w:val="-2"/>
                <w:sz w:val="14"/>
              </w:rPr>
              <w:t>mandatory)</w:t>
            </w:r>
          </w:p>
        </w:tc>
      </w:tr>
      <w:tr w:rsidR="0017485F" w14:paraId="711CA03C" w14:textId="77777777" w:rsidTr="00EF1BDD">
        <w:trPr>
          <w:trHeight w:val="407"/>
        </w:trPr>
        <w:tc>
          <w:tcPr>
            <w:tcW w:w="2800" w:type="dxa"/>
            <w:vAlign w:val="center"/>
          </w:tcPr>
          <w:p w14:paraId="5CA3E959" w14:textId="77777777" w:rsidR="0017485F" w:rsidRPr="00CB5DB4" w:rsidRDefault="0017485F" w:rsidP="0017485F">
            <w:pPr>
              <w:pStyle w:val="TableParagraph"/>
              <w:rPr>
                <w:b/>
                <w:sz w:val="18"/>
              </w:rPr>
            </w:pPr>
            <w:r w:rsidRPr="00CB5DB4">
              <w:rPr>
                <w:b/>
                <w:sz w:val="18"/>
              </w:rPr>
              <w:t>Legal</w:t>
            </w:r>
            <w:r w:rsidRPr="00CB5DB4">
              <w:rPr>
                <w:b/>
                <w:spacing w:val="-2"/>
                <w:sz w:val="18"/>
              </w:rPr>
              <w:t xml:space="preserve"> </w:t>
            </w:r>
            <w:r w:rsidRPr="00CB5DB4">
              <w:rPr>
                <w:b/>
                <w:sz w:val="18"/>
              </w:rPr>
              <w:t>Entity</w:t>
            </w:r>
            <w:r w:rsidRPr="00CB5DB4">
              <w:rPr>
                <w:b/>
                <w:spacing w:val="-7"/>
                <w:sz w:val="18"/>
              </w:rPr>
              <w:t xml:space="preserve"> </w:t>
            </w:r>
            <w:r w:rsidRPr="00CB5DB4">
              <w:rPr>
                <w:b/>
                <w:sz w:val="18"/>
              </w:rPr>
              <w:t>Identifier</w:t>
            </w:r>
            <w:r w:rsidRPr="00CB5DB4">
              <w:rPr>
                <w:b/>
                <w:spacing w:val="-1"/>
                <w:sz w:val="18"/>
              </w:rPr>
              <w:t xml:space="preserve"> </w:t>
            </w:r>
            <w:r w:rsidRPr="00CB5DB4">
              <w:rPr>
                <w:b/>
                <w:spacing w:val="-2"/>
                <w:sz w:val="18"/>
              </w:rPr>
              <w:t>(LEI):</w:t>
            </w:r>
          </w:p>
        </w:tc>
        <w:tc>
          <w:tcPr>
            <w:tcW w:w="7275" w:type="dxa"/>
            <w:vAlign w:val="center"/>
          </w:tcPr>
          <w:p w14:paraId="173BEDC0" w14:textId="77777777" w:rsidR="0017485F" w:rsidRDefault="0017485F" w:rsidP="0017485F">
            <w:pPr>
              <w:pStyle w:val="TableParagraph"/>
              <w:tabs>
                <w:tab w:val="left" w:pos="4064"/>
              </w:tabs>
              <w:spacing w:before="106"/>
              <w:ind w:left="0"/>
              <w:jc w:val="right"/>
              <w:rPr>
                <w:i/>
                <w:sz w:val="14"/>
              </w:rPr>
            </w:pPr>
            <w:r>
              <w:rPr>
                <w:i/>
                <w:sz w:val="14"/>
              </w:rPr>
              <w:t>(if</w:t>
            </w:r>
            <w:r>
              <w:rPr>
                <w:i/>
                <w:spacing w:val="-7"/>
                <w:sz w:val="14"/>
              </w:rPr>
              <w:t xml:space="preserve"> </w:t>
            </w:r>
            <w:r>
              <w:rPr>
                <w:i/>
                <w:sz w:val="14"/>
              </w:rPr>
              <w:t>available,</w:t>
            </w:r>
            <w:r>
              <w:rPr>
                <w:i/>
                <w:spacing w:val="-4"/>
                <w:sz w:val="14"/>
              </w:rPr>
              <w:t xml:space="preserve"> </w:t>
            </w:r>
            <w:r>
              <w:rPr>
                <w:i/>
                <w:sz w:val="14"/>
              </w:rPr>
              <w:t>not</w:t>
            </w:r>
            <w:r>
              <w:rPr>
                <w:i/>
                <w:spacing w:val="-5"/>
                <w:sz w:val="14"/>
              </w:rPr>
              <w:t xml:space="preserve"> </w:t>
            </w:r>
            <w:r>
              <w:rPr>
                <w:i/>
                <w:spacing w:val="-2"/>
                <w:sz w:val="14"/>
              </w:rPr>
              <w:t>mandatory)</w:t>
            </w:r>
          </w:p>
        </w:tc>
      </w:tr>
      <w:tr w:rsidR="0017485F" w14:paraId="1183A1D1" w14:textId="77777777" w:rsidTr="00EF1BDD">
        <w:trPr>
          <w:trHeight w:val="212"/>
        </w:trPr>
        <w:tc>
          <w:tcPr>
            <w:tcW w:w="2800" w:type="dxa"/>
            <w:vAlign w:val="center"/>
          </w:tcPr>
          <w:p w14:paraId="723C148E" w14:textId="77777777" w:rsidR="0017485F" w:rsidRPr="00CB5DB4" w:rsidRDefault="0017485F" w:rsidP="0017485F">
            <w:pPr>
              <w:pStyle w:val="TableParagraph"/>
              <w:rPr>
                <w:b/>
                <w:sz w:val="18"/>
              </w:rPr>
            </w:pPr>
            <w:r w:rsidRPr="00CB5DB4">
              <w:rPr>
                <w:b/>
                <w:spacing w:val="-2"/>
                <w:sz w:val="18"/>
              </w:rPr>
              <w:t>Signature:</w:t>
            </w:r>
          </w:p>
        </w:tc>
        <w:tc>
          <w:tcPr>
            <w:tcW w:w="7275" w:type="dxa"/>
            <w:vAlign w:val="center"/>
          </w:tcPr>
          <w:p w14:paraId="05ED880C" w14:textId="77777777" w:rsidR="0017485F" w:rsidRDefault="0017485F" w:rsidP="0017485F">
            <w:pPr>
              <w:pStyle w:val="TableParagraph"/>
              <w:tabs>
                <w:tab w:val="left" w:pos="1040"/>
                <w:tab w:val="left" w:pos="3300"/>
              </w:tabs>
              <w:spacing w:before="91" w:line="223" w:lineRule="exact"/>
              <w:ind w:left="0"/>
              <w:jc w:val="right"/>
              <w:rPr>
                <w:i/>
                <w:sz w:val="14"/>
              </w:rPr>
            </w:pPr>
            <w:r>
              <w:rPr>
                <w:i/>
                <w:sz w:val="14"/>
              </w:rPr>
              <w:t xml:space="preserve"> (click</w:t>
            </w:r>
            <w:r>
              <w:rPr>
                <w:i/>
                <w:spacing w:val="-5"/>
                <w:sz w:val="14"/>
              </w:rPr>
              <w:t xml:space="preserve"> </w:t>
            </w:r>
            <w:r>
              <w:rPr>
                <w:i/>
                <w:sz w:val="14"/>
              </w:rPr>
              <w:t>to</w:t>
            </w:r>
            <w:r>
              <w:rPr>
                <w:i/>
                <w:spacing w:val="-5"/>
                <w:sz w:val="14"/>
              </w:rPr>
              <w:t xml:space="preserve"> </w:t>
            </w:r>
            <w:r>
              <w:rPr>
                <w:i/>
                <w:sz w:val="14"/>
              </w:rPr>
              <w:t>open</w:t>
            </w:r>
            <w:r>
              <w:rPr>
                <w:i/>
                <w:spacing w:val="-5"/>
                <w:sz w:val="14"/>
              </w:rPr>
              <w:t xml:space="preserve"> </w:t>
            </w:r>
            <w:r>
              <w:rPr>
                <w:i/>
                <w:sz w:val="14"/>
              </w:rPr>
              <w:t>Signing</w:t>
            </w:r>
            <w:r>
              <w:rPr>
                <w:i/>
                <w:spacing w:val="-2"/>
                <w:sz w:val="14"/>
              </w:rPr>
              <w:t xml:space="preserve"> </w:t>
            </w:r>
            <w:r>
              <w:rPr>
                <w:i/>
                <w:sz w:val="14"/>
              </w:rPr>
              <w:t>window</w:t>
            </w:r>
            <w:r>
              <w:rPr>
                <w:i/>
                <w:spacing w:val="-5"/>
                <w:sz w:val="14"/>
              </w:rPr>
              <w:t xml:space="preserve"> </w:t>
            </w:r>
            <w:r>
              <w:rPr>
                <w:i/>
                <w:sz w:val="14"/>
              </w:rPr>
              <w:t>then</w:t>
            </w:r>
            <w:r>
              <w:rPr>
                <w:i/>
                <w:spacing w:val="-3"/>
                <w:sz w:val="14"/>
              </w:rPr>
              <w:t xml:space="preserve"> </w:t>
            </w:r>
            <w:r>
              <w:rPr>
                <w:i/>
                <w:spacing w:val="-2"/>
                <w:sz w:val="14"/>
              </w:rPr>
              <w:t>‘Apply’)</w:t>
            </w:r>
          </w:p>
          <w:p w14:paraId="0488DC9A" w14:textId="77777777" w:rsidR="0017485F" w:rsidRDefault="0017485F" w:rsidP="0017485F">
            <w:pPr>
              <w:pStyle w:val="TableParagraph"/>
              <w:spacing w:before="0" w:line="57" w:lineRule="exact"/>
              <w:ind w:left="211"/>
              <w:jc w:val="right"/>
              <w:rPr>
                <w:rFonts w:ascii="Calibri"/>
                <w:sz w:val="7"/>
              </w:rPr>
            </w:pPr>
          </w:p>
        </w:tc>
      </w:tr>
      <w:tr w:rsidR="0017485F" w14:paraId="7CE27D0F" w14:textId="77777777" w:rsidTr="00EF1BDD">
        <w:trPr>
          <w:trHeight w:val="233"/>
        </w:trPr>
        <w:tc>
          <w:tcPr>
            <w:tcW w:w="2800" w:type="dxa"/>
            <w:vAlign w:val="center"/>
          </w:tcPr>
          <w:p w14:paraId="01E3864D" w14:textId="77777777" w:rsidR="0017485F" w:rsidRPr="00CB5DB4" w:rsidRDefault="0017485F" w:rsidP="0017485F">
            <w:pPr>
              <w:pStyle w:val="TableParagraph"/>
              <w:rPr>
                <w:b/>
                <w:sz w:val="18"/>
              </w:rPr>
            </w:pPr>
            <w:r w:rsidRPr="00CB5DB4">
              <w:rPr>
                <w:b/>
                <w:sz w:val="18"/>
              </w:rPr>
              <w:t>Name</w:t>
            </w:r>
            <w:r w:rsidRPr="00CB5DB4">
              <w:rPr>
                <w:b/>
                <w:spacing w:val="-1"/>
                <w:sz w:val="18"/>
              </w:rPr>
              <w:t xml:space="preserve"> </w:t>
            </w:r>
            <w:r w:rsidRPr="00CB5DB4">
              <w:rPr>
                <w:b/>
                <w:sz w:val="18"/>
              </w:rPr>
              <w:t>of</w:t>
            </w:r>
            <w:r w:rsidRPr="00CB5DB4">
              <w:rPr>
                <w:b/>
                <w:spacing w:val="-2"/>
                <w:sz w:val="18"/>
              </w:rPr>
              <w:t xml:space="preserve"> Signatory:</w:t>
            </w:r>
          </w:p>
        </w:tc>
        <w:tc>
          <w:tcPr>
            <w:tcW w:w="7275" w:type="dxa"/>
            <w:vAlign w:val="center"/>
          </w:tcPr>
          <w:p w14:paraId="10A3F45E" w14:textId="77777777" w:rsidR="0017485F" w:rsidRDefault="0017485F" w:rsidP="0017485F">
            <w:pPr>
              <w:pStyle w:val="TableParagraph"/>
              <w:tabs>
                <w:tab w:val="left" w:pos="4640"/>
              </w:tabs>
              <w:spacing w:before="146"/>
              <w:ind w:left="0"/>
              <w:jc w:val="right"/>
              <w:rPr>
                <w:i/>
                <w:sz w:val="14"/>
              </w:rPr>
            </w:pPr>
            <w:r>
              <w:rPr>
                <w:i/>
                <w:sz w:val="14"/>
              </w:rPr>
              <w:t>(defaults</w:t>
            </w:r>
            <w:r>
              <w:rPr>
                <w:i/>
                <w:spacing w:val="-7"/>
                <w:sz w:val="14"/>
              </w:rPr>
              <w:t xml:space="preserve"> </w:t>
            </w:r>
            <w:r>
              <w:rPr>
                <w:i/>
                <w:sz w:val="14"/>
              </w:rPr>
              <w:t>from</w:t>
            </w:r>
            <w:r>
              <w:rPr>
                <w:i/>
                <w:spacing w:val="-7"/>
                <w:sz w:val="14"/>
              </w:rPr>
              <w:t xml:space="preserve"> </w:t>
            </w:r>
            <w:r>
              <w:rPr>
                <w:i/>
                <w:sz w:val="14"/>
              </w:rPr>
              <w:t>Signing</w:t>
            </w:r>
            <w:r>
              <w:rPr>
                <w:i/>
                <w:spacing w:val="-5"/>
                <w:sz w:val="14"/>
              </w:rPr>
              <w:t xml:space="preserve"> </w:t>
            </w:r>
            <w:r>
              <w:rPr>
                <w:i/>
                <w:spacing w:val="-2"/>
                <w:sz w:val="14"/>
              </w:rPr>
              <w:t>window)</w:t>
            </w:r>
          </w:p>
        </w:tc>
      </w:tr>
      <w:tr w:rsidR="0017485F" w14:paraId="6CFAC5CC" w14:textId="77777777" w:rsidTr="00EF1BDD">
        <w:trPr>
          <w:trHeight w:val="212"/>
        </w:trPr>
        <w:tc>
          <w:tcPr>
            <w:tcW w:w="2800" w:type="dxa"/>
            <w:vAlign w:val="center"/>
          </w:tcPr>
          <w:p w14:paraId="17E4A129" w14:textId="77777777" w:rsidR="0017485F" w:rsidRPr="00CB5DB4" w:rsidRDefault="0017485F" w:rsidP="0017485F">
            <w:pPr>
              <w:pStyle w:val="TableParagraph"/>
              <w:rPr>
                <w:b/>
                <w:sz w:val="18"/>
              </w:rPr>
            </w:pPr>
            <w:r w:rsidRPr="00CB5DB4">
              <w:rPr>
                <w:b/>
                <w:sz w:val="18"/>
              </w:rPr>
              <w:t>Position</w:t>
            </w:r>
            <w:r w:rsidRPr="00CB5DB4">
              <w:rPr>
                <w:b/>
                <w:spacing w:val="-1"/>
                <w:sz w:val="18"/>
              </w:rPr>
              <w:t xml:space="preserve"> </w:t>
            </w:r>
            <w:r w:rsidRPr="00CB5DB4">
              <w:rPr>
                <w:b/>
                <w:sz w:val="18"/>
              </w:rPr>
              <w:t>/ Title</w:t>
            </w:r>
            <w:r w:rsidRPr="00CB5DB4">
              <w:rPr>
                <w:b/>
                <w:spacing w:val="1"/>
                <w:sz w:val="18"/>
              </w:rPr>
              <w:t xml:space="preserve"> </w:t>
            </w:r>
            <w:r w:rsidRPr="00CB5DB4">
              <w:rPr>
                <w:b/>
                <w:sz w:val="18"/>
              </w:rPr>
              <w:t xml:space="preserve">of </w:t>
            </w:r>
            <w:r w:rsidRPr="00CB5DB4">
              <w:rPr>
                <w:b/>
                <w:spacing w:val="-2"/>
                <w:sz w:val="18"/>
              </w:rPr>
              <w:t>Signatory:</w:t>
            </w:r>
          </w:p>
        </w:tc>
        <w:tc>
          <w:tcPr>
            <w:tcW w:w="7275" w:type="dxa"/>
            <w:vAlign w:val="center"/>
          </w:tcPr>
          <w:p w14:paraId="39076D59" w14:textId="77777777" w:rsidR="0017485F" w:rsidRDefault="0017485F" w:rsidP="0017485F">
            <w:pPr>
              <w:pStyle w:val="TableParagraph"/>
              <w:spacing w:before="103"/>
              <w:ind w:left="251"/>
              <w:jc w:val="right"/>
              <w:rPr>
                <w:rFonts w:ascii="Book Antiqua"/>
                <w:sz w:val="20"/>
              </w:rPr>
            </w:pPr>
          </w:p>
        </w:tc>
      </w:tr>
      <w:tr w:rsidR="0017485F" w14:paraId="2F1A5048" w14:textId="77777777" w:rsidTr="00EF1BDD">
        <w:trPr>
          <w:trHeight w:val="212"/>
        </w:trPr>
        <w:tc>
          <w:tcPr>
            <w:tcW w:w="2800" w:type="dxa"/>
            <w:vAlign w:val="center"/>
          </w:tcPr>
          <w:p w14:paraId="6B831479" w14:textId="77777777" w:rsidR="0017485F" w:rsidRPr="00CB5DB4" w:rsidRDefault="0017485F" w:rsidP="0017485F">
            <w:pPr>
              <w:pStyle w:val="TableParagraph"/>
              <w:spacing w:before="116"/>
              <w:rPr>
                <w:b/>
                <w:sz w:val="18"/>
              </w:rPr>
            </w:pPr>
            <w:r w:rsidRPr="00CB5DB4">
              <w:rPr>
                <w:b/>
                <w:sz w:val="18"/>
              </w:rPr>
              <w:t>Contact</w:t>
            </w:r>
            <w:r w:rsidRPr="00CB5DB4">
              <w:rPr>
                <w:b/>
                <w:spacing w:val="-6"/>
                <w:sz w:val="18"/>
              </w:rPr>
              <w:t xml:space="preserve"> </w:t>
            </w:r>
            <w:r w:rsidRPr="00CB5DB4">
              <w:rPr>
                <w:b/>
                <w:sz w:val="18"/>
              </w:rPr>
              <w:t>Telephone</w:t>
            </w:r>
            <w:r w:rsidRPr="00CB5DB4">
              <w:rPr>
                <w:b/>
                <w:spacing w:val="-6"/>
                <w:sz w:val="18"/>
              </w:rPr>
              <w:t xml:space="preserve"> </w:t>
            </w:r>
            <w:r w:rsidRPr="00CB5DB4">
              <w:rPr>
                <w:b/>
                <w:spacing w:val="-4"/>
                <w:sz w:val="18"/>
              </w:rPr>
              <w:t>No.:</w:t>
            </w:r>
          </w:p>
        </w:tc>
        <w:tc>
          <w:tcPr>
            <w:tcW w:w="7275" w:type="dxa"/>
            <w:vAlign w:val="center"/>
          </w:tcPr>
          <w:p w14:paraId="1EB55F6B" w14:textId="77777777" w:rsidR="0017485F" w:rsidRDefault="0017485F" w:rsidP="0017485F">
            <w:pPr>
              <w:pStyle w:val="TableParagraph"/>
              <w:spacing w:before="102"/>
              <w:ind w:left="251"/>
              <w:jc w:val="right"/>
              <w:rPr>
                <w:rFonts w:ascii="Book Antiqua"/>
                <w:sz w:val="20"/>
              </w:rPr>
            </w:pPr>
          </w:p>
        </w:tc>
      </w:tr>
      <w:tr w:rsidR="0017485F" w14:paraId="0EE7CE2B" w14:textId="77777777" w:rsidTr="00EF1BDD">
        <w:trPr>
          <w:trHeight w:val="74"/>
        </w:trPr>
        <w:tc>
          <w:tcPr>
            <w:tcW w:w="2800" w:type="dxa"/>
            <w:vAlign w:val="center"/>
          </w:tcPr>
          <w:p w14:paraId="1F86ADC7" w14:textId="77777777" w:rsidR="0017485F" w:rsidRPr="00CB5DB4" w:rsidRDefault="0017485F" w:rsidP="0017485F">
            <w:pPr>
              <w:pStyle w:val="TableParagraph"/>
              <w:rPr>
                <w:b/>
                <w:sz w:val="18"/>
              </w:rPr>
            </w:pPr>
            <w:r w:rsidRPr="00CB5DB4">
              <w:rPr>
                <w:b/>
                <w:sz w:val="18"/>
              </w:rPr>
              <w:t>Email</w:t>
            </w:r>
            <w:r w:rsidRPr="00CB5DB4">
              <w:rPr>
                <w:b/>
                <w:spacing w:val="-1"/>
                <w:sz w:val="18"/>
              </w:rPr>
              <w:t xml:space="preserve"> </w:t>
            </w:r>
            <w:r w:rsidRPr="00CB5DB4">
              <w:rPr>
                <w:b/>
                <w:sz w:val="18"/>
              </w:rPr>
              <w:t xml:space="preserve">of </w:t>
            </w:r>
            <w:r w:rsidRPr="00CB5DB4">
              <w:rPr>
                <w:b/>
                <w:spacing w:val="-2"/>
                <w:sz w:val="18"/>
              </w:rPr>
              <w:t>Signatory:</w:t>
            </w:r>
          </w:p>
        </w:tc>
        <w:tc>
          <w:tcPr>
            <w:tcW w:w="7275" w:type="dxa"/>
            <w:vAlign w:val="center"/>
          </w:tcPr>
          <w:p w14:paraId="0CC57A0C" w14:textId="77777777" w:rsidR="0017485F" w:rsidRDefault="0017485F" w:rsidP="0017485F">
            <w:pPr>
              <w:pStyle w:val="TableParagraph"/>
              <w:tabs>
                <w:tab w:val="left" w:pos="4198"/>
              </w:tabs>
              <w:spacing w:before="101" w:line="226" w:lineRule="exact"/>
              <w:ind w:left="0"/>
              <w:jc w:val="right"/>
              <w:rPr>
                <w:i/>
                <w:sz w:val="14"/>
              </w:rPr>
            </w:pPr>
            <w:r>
              <w:rPr>
                <w:i/>
                <w:sz w:val="14"/>
              </w:rPr>
              <w:t>(a</w:t>
            </w:r>
            <w:r>
              <w:rPr>
                <w:i/>
                <w:spacing w:val="-5"/>
                <w:sz w:val="14"/>
              </w:rPr>
              <w:t xml:space="preserve"> </w:t>
            </w:r>
            <w:r>
              <w:rPr>
                <w:i/>
                <w:sz w:val="14"/>
              </w:rPr>
              <w:t>copy</w:t>
            </w:r>
            <w:r>
              <w:rPr>
                <w:i/>
                <w:spacing w:val="-3"/>
                <w:sz w:val="14"/>
              </w:rPr>
              <w:t xml:space="preserve"> </w:t>
            </w:r>
            <w:r>
              <w:rPr>
                <w:i/>
                <w:sz w:val="14"/>
              </w:rPr>
              <w:t>of</w:t>
            </w:r>
            <w:r>
              <w:rPr>
                <w:i/>
                <w:spacing w:val="-3"/>
                <w:sz w:val="14"/>
              </w:rPr>
              <w:t xml:space="preserve"> </w:t>
            </w:r>
            <w:r>
              <w:rPr>
                <w:i/>
                <w:sz w:val="14"/>
              </w:rPr>
              <w:t>this</w:t>
            </w:r>
            <w:r>
              <w:rPr>
                <w:i/>
                <w:spacing w:val="-3"/>
                <w:sz w:val="14"/>
              </w:rPr>
              <w:t xml:space="preserve"> </w:t>
            </w:r>
            <w:r>
              <w:rPr>
                <w:i/>
                <w:sz w:val="14"/>
              </w:rPr>
              <w:t>document</w:t>
            </w:r>
            <w:r>
              <w:rPr>
                <w:i/>
                <w:spacing w:val="-3"/>
                <w:sz w:val="14"/>
              </w:rPr>
              <w:t xml:space="preserve"> </w:t>
            </w:r>
            <w:r>
              <w:rPr>
                <w:i/>
                <w:sz w:val="14"/>
              </w:rPr>
              <w:t>will</w:t>
            </w:r>
            <w:r>
              <w:rPr>
                <w:i/>
                <w:spacing w:val="-2"/>
                <w:sz w:val="14"/>
              </w:rPr>
              <w:t xml:space="preserve"> </w:t>
            </w:r>
            <w:r>
              <w:rPr>
                <w:i/>
                <w:sz w:val="14"/>
              </w:rPr>
              <w:t>be</w:t>
            </w:r>
            <w:r>
              <w:rPr>
                <w:i/>
                <w:spacing w:val="-4"/>
                <w:sz w:val="14"/>
              </w:rPr>
              <w:t xml:space="preserve"> </w:t>
            </w:r>
            <w:r>
              <w:rPr>
                <w:i/>
                <w:sz w:val="14"/>
              </w:rPr>
              <w:t>sent</w:t>
            </w:r>
            <w:r>
              <w:rPr>
                <w:i/>
                <w:spacing w:val="-3"/>
                <w:sz w:val="14"/>
              </w:rPr>
              <w:t xml:space="preserve"> </w:t>
            </w:r>
            <w:r>
              <w:rPr>
                <w:i/>
                <w:spacing w:val="-2"/>
                <w:sz w:val="14"/>
              </w:rPr>
              <w:t>here)</w:t>
            </w:r>
          </w:p>
        </w:tc>
      </w:tr>
    </w:tbl>
    <w:p w14:paraId="598302F5" w14:textId="2C5F301E" w:rsidR="000719FF" w:rsidRDefault="00C504CC">
      <w:pPr>
        <w:spacing w:before="1"/>
        <w:ind w:left="666" w:right="556"/>
        <w:jc w:val="both"/>
        <w:rPr>
          <w:sz w:val="16"/>
        </w:rPr>
      </w:pPr>
      <w:r w:rsidRPr="00C504CC">
        <w:rPr>
          <w:noProof/>
          <w:color w:val="D9D9D9" w:themeColor="background1" w:themeShade="D9"/>
          <w:sz w:val="16"/>
        </w:rPr>
        <mc:AlternateContent>
          <mc:Choice Requires="wps">
            <w:drawing>
              <wp:anchor distT="0" distB="0" distL="114300" distR="114300" simplePos="0" relativeHeight="487505408" behindDoc="0" locked="0" layoutInCell="1" allowOverlap="1" wp14:anchorId="0D049BA7" wp14:editId="70289ED4">
                <wp:simplePos x="0" y="0"/>
                <wp:positionH relativeFrom="column">
                  <wp:posOffset>234950</wp:posOffset>
                </wp:positionH>
                <wp:positionV relativeFrom="paragraph">
                  <wp:posOffset>553085</wp:posOffset>
                </wp:positionV>
                <wp:extent cx="6686550" cy="0"/>
                <wp:effectExtent l="0" t="0" r="0" b="0"/>
                <wp:wrapNone/>
                <wp:docPr id="826946035" name="Straight Connector 1"/>
                <wp:cNvGraphicFramePr/>
                <a:graphic xmlns:a="http://schemas.openxmlformats.org/drawingml/2006/main">
                  <a:graphicData uri="http://schemas.microsoft.com/office/word/2010/wordprocessingShape">
                    <wps:wsp>
                      <wps:cNvCnPr/>
                      <wps:spPr>
                        <a:xfrm flipV="1">
                          <a:off x="0" y="0"/>
                          <a:ext cx="6686550"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9D5F01" id="Straight Connector 1" o:spid="_x0000_s1026" style="position:absolute;flip:y;z-index:4875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43.55pt" to="5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" strokecolor="#d8d8d8 [2732]" strokeweight=".25pt"/>
            </w:pict>
          </mc:Fallback>
        </mc:AlternateContent>
      </w:r>
      <w:r w:rsidR="00855233">
        <w:rPr>
          <w:sz w:val="16"/>
        </w:rPr>
        <w:t>Please note that no part of this information constitutes advice from NatWest Markets to you. NatWest Markets does not owe any</w:t>
      </w:r>
      <w:r w:rsidR="00855233">
        <w:rPr>
          <w:spacing w:val="40"/>
          <w:sz w:val="16"/>
        </w:rPr>
        <w:t xml:space="preserve"> </w:t>
      </w:r>
      <w:r w:rsidR="00855233">
        <w:rPr>
          <w:sz w:val="16"/>
        </w:rPr>
        <w:t>fiduciary duties to you in</w:t>
      </w:r>
      <w:r w:rsidR="00855233">
        <w:rPr>
          <w:spacing w:val="-1"/>
          <w:sz w:val="16"/>
        </w:rPr>
        <w:t xml:space="preserve"> </w:t>
      </w:r>
      <w:r w:rsidR="00855233">
        <w:rPr>
          <w:sz w:val="16"/>
        </w:rPr>
        <w:t>connection with this and/or any related</w:t>
      </w:r>
      <w:r w:rsidR="00855233">
        <w:rPr>
          <w:spacing w:val="-1"/>
          <w:sz w:val="16"/>
        </w:rPr>
        <w:t xml:space="preserve"> </w:t>
      </w:r>
      <w:r w:rsidR="00855233">
        <w:rPr>
          <w:sz w:val="16"/>
        </w:rPr>
        <w:t>transaction and no reliance</w:t>
      </w:r>
      <w:r w:rsidR="00855233">
        <w:rPr>
          <w:spacing w:val="-1"/>
          <w:sz w:val="16"/>
        </w:rPr>
        <w:t xml:space="preserve"> </w:t>
      </w:r>
      <w:r w:rsidR="00855233">
        <w:rPr>
          <w:sz w:val="16"/>
        </w:rPr>
        <w:t>may be placed on NatWest Markets for any representation made by you. You should seek your own independent advice before making any representation.</w:t>
      </w:r>
      <w:r w:rsidR="0038131E">
        <w:rPr>
          <w:sz w:val="16"/>
        </w:rPr>
        <w:t xml:space="preserve"> References to EU directives/regulations shall include such enactments as form part of </w:t>
      </w:r>
      <w:r w:rsidR="00515095">
        <w:rPr>
          <w:sz w:val="16"/>
        </w:rPr>
        <w:t>the laws of the United Kingdom.</w:t>
      </w:r>
      <w:r w:rsidR="0038131E">
        <w:rPr>
          <w:sz w:val="16"/>
        </w:rPr>
        <w:t xml:space="preserve"> </w:t>
      </w:r>
    </w:p>
    <w:sectPr w:rsidR="000719FF">
      <w:footerReference w:type="even" r:id="rId12"/>
      <w:footerReference w:type="default" r:id="rId13"/>
      <w:footerReference w:type="first" r:id="rId14"/>
      <w:type w:val="continuous"/>
      <w:pgSz w:w="11910" w:h="16840"/>
      <w:pgMar w:top="620" w:right="3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63F5" w14:textId="77777777" w:rsidR="003A2394" w:rsidRDefault="003A2394" w:rsidP="00612135">
      <w:r>
        <w:separator/>
      </w:r>
    </w:p>
  </w:endnote>
  <w:endnote w:type="continuationSeparator" w:id="0">
    <w:p w14:paraId="16171914" w14:textId="77777777" w:rsidR="003A2394" w:rsidRDefault="003A2394" w:rsidP="0061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8E9F" w14:textId="4F7D87B9" w:rsidR="00612135" w:rsidRDefault="00612135">
    <w:pPr>
      <w:pStyle w:val="Footer"/>
    </w:pPr>
    <w:r>
      <w:rPr>
        <w:noProof/>
      </w:rPr>
      <mc:AlternateContent>
        <mc:Choice Requires="wps">
          <w:drawing>
            <wp:anchor distT="0" distB="0" distL="0" distR="0" simplePos="0" relativeHeight="251659264" behindDoc="0" locked="0" layoutInCell="1" allowOverlap="1" wp14:anchorId="1DCCA6D1" wp14:editId="252D2F7B">
              <wp:simplePos x="635" y="635"/>
              <wp:positionH relativeFrom="page">
                <wp:align>left</wp:align>
              </wp:positionH>
              <wp:positionV relativeFrom="page">
                <wp:align>bottom</wp:align>
              </wp:positionV>
              <wp:extent cx="2387600" cy="361315"/>
              <wp:effectExtent l="0" t="0" r="12700" b="0"/>
              <wp:wrapNone/>
              <wp:docPr id="2591687" name="Text Box 2"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7600" cy="361315"/>
                      </a:xfrm>
                      <a:prstGeom prst="rect">
                        <a:avLst/>
                      </a:prstGeom>
                      <a:noFill/>
                      <a:ln>
                        <a:noFill/>
                      </a:ln>
                    </wps:spPr>
                    <wps:txbx>
                      <w:txbxContent>
                        <w:p w14:paraId="1C6A5990" w14:textId="36FA98AB" w:rsidR="00612135" w:rsidRPr="00612135" w:rsidRDefault="00612135" w:rsidP="00612135">
                          <w:pPr>
                            <w:rPr>
                              <w:rFonts w:ascii="Calibri" w:eastAsia="Calibri" w:hAnsi="Calibri" w:cs="Calibri"/>
                              <w:noProof/>
                              <w:color w:val="000000"/>
                            </w:rPr>
                          </w:pPr>
                          <w:r w:rsidRPr="00612135">
                            <w:rPr>
                              <w:rFonts w:ascii="Calibri" w:eastAsia="Calibri" w:hAnsi="Calibri" w:cs="Calibri"/>
                              <w:noProof/>
                              <w:color w:val="000000"/>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CCA6D1" id="_x0000_t202" coordsize="21600,21600" o:spt="202" path="m,l,21600r21600,l21600,xe">
              <v:stroke joinstyle="miter"/>
              <v:path gradientshapeok="t" o:connecttype="rect"/>
            </v:shapetype>
            <v:shape id="Text Box 2" o:spid="_x0000_s1036" type="#_x0000_t202" alt="Information Classification - Restricted" style="position:absolute;margin-left:0;margin-top:0;width:18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" filled="f" stroked="f">
              <v:textbox style="mso-fit-shape-to-text:t" inset="20pt,0,0,15pt">
                <w:txbxContent>
                  <w:p w14:paraId="1C6A5990" w14:textId="36FA98AB" w:rsidR="00612135" w:rsidRPr="00612135" w:rsidRDefault="00612135" w:rsidP="00612135">
                    <w:pPr>
                      <w:rPr>
                        <w:rFonts w:ascii="Calibri" w:eastAsia="Calibri" w:hAnsi="Calibri" w:cs="Calibri"/>
                        <w:noProof/>
                        <w:color w:val="000000"/>
                      </w:rPr>
                    </w:pPr>
                    <w:r w:rsidRPr="00612135">
                      <w:rPr>
                        <w:rFonts w:ascii="Calibri" w:eastAsia="Calibri" w:hAnsi="Calibri" w:cs="Calibri"/>
                        <w:noProof/>
                        <w:color w:val="000000"/>
                      </w:rPr>
                      <w:t>Information Classification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5AAE" w14:textId="549A26AC" w:rsidR="00612135" w:rsidRDefault="00C504CC" w:rsidP="00C504CC">
    <w:pPr>
      <w:pStyle w:val="Footer"/>
      <w:jc w:val="both"/>
    </w:pPr>
    <w:r w:rsidRPr="003065A4">
      <w:rPr>
        <w:rFonts w:eastAsia="Times New Roman"/>
        <w:color w:val="989898"/>
        <w:sz w:val="14"/>
        <w:szCs w:val="14"/>
        <w:lang w:eastAsia="en-GB"/>
      </w:rPr>
      <w:t xml:space="preserve">NatWest Markets Plc (located at 250 Bishopsgate, London, EC2M 4AA) is </w:t>
    </w:r>
    <w:proofErr w:type="spellStart"/>
    <w:r w:rsidRPr="003065A4">
      <w:rPr>
        <w:rFonts w:eastAsia="Times New Roman"/>
        <w:color w:val="989898"/>
        <w:sz w:val="14"/>
        <w:szCs w:val="14"/>
        <w:lang w:eastAsia="en-GB"/>
      </w:rPr>
      <w:t>authorised</w:t>
    </w:r>
    <w:proofErr w:type="spellEnd"/>
    <w:r w:rsidRPr="003065A4">
      <w:rPr>
        <w:rFonts w:eastAsia="Times New Roman"/>
        <w:color w:val="989898"/>
        <w:sz w:val="14"/>
        <w:szCs w:val="14"/>
        <w:lang w:eastAsia="en-GB"/>
      </w:rPr>
      <w:t xml:space="preserve"> by the Prudential Regulation Authority and regulated by the Financial Conduct Authority and Prudential Regulation Authority. It is registered in Scotland No. SC90312 with limited liability. Registered Office: 36 St Andrew Square, Edinburgh EH2 2YB. NatWest Markets N.V. is incorporated with limited liability in the Netherlands, </w:t>
    </w:r>
    <w:proofErr w:type="spellStart"/>
    <w:r w:rsidRPr="003065A4">
      <w:rPr>
        <w:rFonts w:eastAsia="Times New Roman"/>
        <w:color w:val="989898"/>
        <w:sz w:val="14"/>
        <w:szCs w:val="14"/>
        <w:lang w:eastAsia="en-GB"/>
      </w:rPr>
      <w:t>authorised</w:t>
    </w:r>
    <w:proofErr w:type="spellEnd"/>
    <w:r w:rsidRPr="003065A4">
      <w:rPr>
        <w:rFonts w:eastAsia="Times New Roman"/>
        <w:color w:val="989898"/>
        <w:sz w:val="14"/>
        <w:szCs w:val="14"/>
        <w:lang w:eastAsia="en-GB"/>
      </w:rPr>
      <w:t xml:space="preserve"> and supervised by De </w:t>
    </w:r>
    <w:proofErr w:type="spellStart"/>
    <w:r w:rsidRPr="003065A4">
      <w:rPr>
        <w:rFonts w:eastAsia="Times New Roman"/>
        <w:color w:val="989898"/>
        <w:sz w:val="14"/>
        <w:szCs w:val="14"/>
        <w:lang w:eastAsia="en-GB"/>
      </w:rPr>
      <w:t>Nederlandsche</w:t>
    </w:r>
    <w:proofErr w:type="spellEnd"/>
    <w:r w:rsidRPr="003065A4">
      <w:rPr>
        <w:rFonts w:eastAsia="Times New Roman"/>
        <w:color w:val="989898"/>
        <w:sz w:val="14"/>
        <w:szCs w:val="14"/>
        <w:lang w:eastAsia="en-GB"/>
      </w:rPr>
      <w:t xml:space="preserve"> Bank, the European Central Bank, and the </w:t>
    </w:r>
    <w:proofErr w:type="spellStart"/>
    <w:r w:rsidRPr="003065A4">
      <w:rPr>
        <w:rFonts w:eastAsia="Times New Roman"/>
        <w:color w:val="989898"/>
        <w:sz w:val="14"/>
        <w:szCs w:val="14"/>
        <w:lang w:eastAsia="en-GB"/>
      </w:rPr>
      <w:t>Autoriteit</w:t>
    </w:r>
    <w:proofErr w:type="spellEnd"/>
    <w:r w:rsidRPr="003065A4">
      <w:rPr>
        <w:rFonts w:eastAsia="Times New Roman"/>
        <w:color w:val="989898"/>
        <w:sz w:val="14"/>
        <w:szCs w:val="14"/>
        <w:lang w:eastAsia="en-GB"/>
      </w:rPr>
      <w:t xml:space="preserve"> </w:t>
    </w:r>
    <w:proofErr w:type="spellStart"/>
    <w:r w:rsidRPr="003065A4">
      <w:rPr>
        <w:rFonts w:eastAsia="Times New Roman"/>
        <w:color w:val="989898"/>
        <w:sz w:val="14"/>
        <w:szCs w:val="14"/>
        <w:lang w:eastAsia="en-GB"/>
      </w:rPr>
      <w:t>Financiële</w:t>
    </w:r>
    <w:proofErr w:type="spellEnd"/>
    <w:r w:rsidRPr="003065A4">
      <w:rPr>
        <w:rFonts w:eastAsia="Times New Roman"/>
        <w:color w:val="989898"/>
        <w:sz w:val="14"/>
        <w:szCs w:val="14"/>
        <w:lang w:eastAsia="en-GB"/>
      </w:rPr>
      <w:t xml:space="preserve"> Markten. It has its seat at Amsterdam, the Netherlands, and is registered in the Commercial Register under number 33002587. Registered Office: Claude </w:t>
    </w:r>
    <w:proofErr w:type="spellStart"/>
    <w:r w:rsidRPr="003065A4">
      <w:rPr>
        <w:rFonts w:eastAsia="Times New Roman"/>
        <w:color w:val="989898"/>
        <w:sz w:val="14"/>
        <w:szCs w:val="14"/>
        <w:lang w:eastAsia="en-GB"/>
      </w:rPr>
      <w:t>Debussylaan</w:t>
    </w:r>
    <w:proofErr w:type="spellEnd"/>
    <w:r w:rsidRPr="003065A4">
      <w:rPr>
        <w:rFonts w:eastAsia="Times New Roman"/>
        <w:color w:val="989898"/>
        <w:sz w:val="14"/>
        <w:szCs w:val="14"/>
        <w:lang w:eastAsia="en-GB"/>
      </w:rPr>
      <w:t xml:space="preserve"> 94, Amsterdam, the Netherlands. National Westminster Bank Plc is registered in England and Wales under No. 929027. Registered Office: 250 Bishopsgate, London EC4M 3UR. </w:t>
    </w:r>
    <w:proofErr w:type="spellStart"/>
    <w:r w:rsidRPr="003065A4">
      <w:rPr>
        <w:rFonts w:eastAsia="Times New Roman"/>
        <w:color w:val="989898"/>
        <w:sz w:val="14"/>
        <w:szCs w:val="14"/>
        <w:lang w:eastAsia="en-GB"/>
      </w:rPr>
      <w:t>Authorised</w:t>
    </w:r>
    <w:proofErr w:type="spellEnd"/>
    <w:r w:rsidRPr="003065A4">
      <w:rPr>
        <w:rFonts w:eastAsia="Times New Roman"/>
        <w:color w:val="989898"/>
        <w:sz w:val="14"/>
        <w:szCs w:val="14"/>
        <w:lang w:eastAsia="en-GB"/>
      </w:rPr>
      <w:t xml:space="preserve"> by the Prudential Regulation Authority and regulated by the Financial Conduct Authority and Prudential Regulation Authority.</w:t>
    </w:r>
    <w:r w:rsidR="00612135">
      <w:rPr>
        <w:noProof/>
      </w:rPr>
      <mc:AlternateContent>
        <mc:Choice Requires="wps">
          <w:drawing>
            <wp:anchor distT="0" distB="0" distL="0" distR="0" simplePos="0" relativeHeight="251660288" behindDoc="0" locked="0" layoutInCell="1" allowOverlap="1" wp14:anchorId="6D89E529" wp14:editId="5DACACF5">
              <wp:simplePos x="397565" y="10074303"/>
              <wp:positionH relativeFrom="page">
                <wp:align>left</wp:align>
              </wp:positionH>
              <wp:positionV relativeFrom="page">
                <wp:align>bottom</wp:align>
              </wp:positionV>
              <wp:extent cx="2387600" cy="361315"/>
              <wp:effectExtent l="0" t="0" r="12700" b="0"/>
              <wp:wrapNone/>
              <wp:docPr id="1180415130" name="Text Box 3"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7600" cy="361315"/>
                      </a:xfrm>
                      <a:prstGeom prst="rect">
                        <a:avLst/>
                      </a:prstGeom>
                      <a:noFill/>
                      <a:ln>
                        <a:noFill/>
                      </a:ln>
                    </wps:spPr>
                    <wps:txbx>
                      <w:txbxContent>
                        <w:p w14:paraId="7F5424A6" w14:textId="5A0EE585" w:rsidR="00612135" w:rsidRPr="00612135" w:rsidRDefault="00612135" w:rsidP="00612135">
                          <w:pPr>
                            <w:rPr>
                              <w:rFonts w:ascii="Calibri" w:eastAsia="Calibri" w:hAnsi="Calibri" w:cs="Calibri"/>
                              <w:noProof/>
                              <w:color w:val="000000"/>
                            </w:rPr>
                          </w:pPr>
                          <w:r w:rsidRPr="00612135">
                            <w:rPr>
                              <w:rFonts w:ascii="Calibri" w:eastAsia="Calibri" w:hAnsi="Calibri" w:cs="Calibri"/>
                              <w:noProof/>
                              <w:color w:val="000000"/>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89E529" id="_x0000_t202" coordsize="21600,21600" o:spt="202" path="m,l,21600r21600,l21600,xe">
              <v:stroke joinstyle="miter"/>
              <v:path gradientshapeok="t" o:connecttype="rect"/>
            </v:shapetype>
            <v:shape id="Text Box 3" o:spid="_x0000_s1037" type="#_x0000_t202" alt="Information Classification - Restricted" style="position:absolute;margin-left:0;margin-top:0;width:18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" filled="f" stroked="f">
              <v:textbox style="mso-fit-shape-to-text:t" inset="20pt,0,0,15pt">
                <w:txbxContent>
                  <w:p w14:paraId="7F5424A6" w14:textId="5A0EE585" w:rsidR="00612135" w:rsidRPr="00612135" w:rsidRDefault="00612135" w:rsidP="00612135">
                    <w:pPr>
                      <w:rPr>
                        <w:rFonts w:ascii="Calibri" w:eastAsia="Calibri" w:hAnsi="Calibri" w:cs="Calibri"/>
                        <w:noProof/>
                        <w:color w:val="000000"/>
                      </w:rPr>
                    </w:pPr>
                    <w:r w:rsidRPr="00612135">
                      <w:rPr>
                        <w:rFonts w:ascii="Calibri" w:eastAsia="Calibri" w:hAnsi="Calibri" w:cs="Calibri"/>
                        <w:noProof/>
                        <w:color w:val="000000"/>
                      </w:rPr>
                      <w:t>Information Classification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5EC" w14:textId="5D3C13F5" w:rsidR="00612135" w:rsidRDefault="00612135">
    <w:pPr>
      <w:pStyle w:val="Footer"/>
    </w:pPr>
    <w:r>
      <w:rPr>
        <w:noProof/>
      </w:rPr>
      <mc:AlternateContent>
        <mc:Choice Requires="wps">
          <w:drawing>
            <wp:anchor distT="0" distB="0" distL="0" distR="0" simplePos="0" relativeHeight="251658240" behindDoc="0" locked="0" layoutInCell="1" allowOverlap="1" wp14:anchorId="64D68E2B" wp14:editId="5AEEEA31">
              <wp:simplePos x="635" y="635"/>
              <wp:positionH relativeFrom="page">
                <wp:align>left</wp:align>
              </wp:positionH>
              <wp:positionV relativeFrom="page">
                <wp:align>bottom</wp:align>
              </wp:positionV>
              <wp:extent cx="2387600" cy="361315"/>
              <wp:effectExtent l="0" t="0" r="12700" b="0"/>
              <wp:wrapNone/>
              <wp:docPr id="1179612149" name="Text Box 1"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7600" cy="361315"/>
                      </a:xfrm>
                      <a:prstGeom prst="rect">
                        <a:avLst/>
                      </a:prstGeom>
                      <a:noFill/>
                      <a:ln>
                        <a:noFill/>
                      </a:ln>
                    </wps:spPr>
                    <wps:txbx>
                      <w:txbxContent>
                        <w:p w14:paraId="19DBAF3F" w14:textId="1BDEC201" w:rsidR="00612135" w:rsidRPr="00612135" w:rsidRDefault="00612135" w:rsidP="00612135">
                          <w:pPr>
                            <w:rPr>
                              <w:rFonts w:ascii="Calibri" w:eastAsia="Calibri" w:hAnsi="Calibri" w:cs="Calibri"/>
                              <w:noProof/>
                              <w:color w:val="000000"/>
                            </w:rPr>
                          </w:pPr>
                          <w:r w:rsidRPr="00612135">
                            <w:rPr>
                              <w:rFonts w:ascii="Calibri" w:eastAsia="Calibri" w:hAnsi="Calibri" w:cs="Calibri"/>
                              <w:noProof/>
                              <w:color w:val="000000"/>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D68E2B" id="_x0000_t202" coordsize="21600,21600" o:spt="202" path="m,l,21600r21600,l21600,xe">
              <v:stroke joinstyle="miter"/>
              <v:path gradientshapeok="t" o:connecttype="rect"/>
            </v:shapetype>
            <v:shape id="Text Box 1" o:spid="_x0000_s1038" type="#_x0000_t202" alt="Information Classification - Restricted" style="position:absolute;margin-left:0;margin-top:0;width:18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" filled="f" stroked="f">
              <v:textbox style="mso-fit-shape-to-text:t" inset="20pt,0,0,15pt">
                <w:txbxContent>
                  <w:p w14:paraId="19DBAF3F" w14:textId="1BDEC201" w:rsidR="00612135" w:rsidRPr="00612135" w:rsidRDefault="00612135" w:rsidP="00612135">
                    <w:pPr>
                      <w:rPr>
                        <w:rFonts w:ascii="Calibri" w:eastAsia="Calibri" w:hAnsi="Calibri" w:cs="Calibri"/>
                        <w:noProof/>
                        <w:color w:val="000000"/>
                      </w:rPr>
                    </w:pPr>
                    <w:r w:rsidRPr="00612135">
                      <w:rPr>
                        <w:rFonts w:ascii="Calibri" w:eastAsia="Calibri" w:hAnsi="Calibri" w:cs="Calibri"/>
                        <w:noProof/>
                        <w:color w:val="000000"/>
                      </w:rPr>
                      <w:t>Information Classification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5C56" w14:textId="77777777" w:rsidR="003A2394" w:rsidRDefault="003A2394" w:rsidP="00612135">
      <w:r>
        <w:separator/>
      </w:r>
    </w:p>
  </w:footnote>
  <w:footnote w:type="continuationSeparator" w:id="0">
    <w:p w14:paraId="39AF8D72" w14:textId="77777777" w:rsidR="003A2394" w:rsidRDefault="003A2394" w:rsidP="0061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4BBC"/>
    <w:multiLevelType w:val="hybridMultilevel"/>
    <w:tmpl w:val="7130C426"/>
    <w:lvl w:ilvl="0" w:tplc="79702316">
      <w:start w:val="1"/>
      <w:numFmt w:val="decimal"/>
      <w:lvlText w:val="%1."/>
      <w:lvlJc w:val="left"/>
      <w:pPr>
        <w:ind w:left="820" w:hanging="361"/>
        <w:jc w:val="left"/>
      </w:pPr>
      <w:rPr>
        <w:rFonts w:ascii="Arial" w:eastAsia="Arial" w:hAnsi="Arial" w:cs="Arial" w:hint="default"/>
        <w:b w:val="0"/>
        <w:bCs w:val="0"/>
        <w:i w:val="0"/>
        <w:iCs w:val="0"/>
        <w:w w:val="100"/>
        <w:sz w:val="18"/>
        <w:szCs w:val="18"/>
        <w:lang w:val="en-US" w:eastAsia="en-US" w:bidi="ar-SA"/>
      </w:rPr>
    </w:lvl>
    <w:lvl w:ilvl="1" w:tplc="63E4B5DC">
      <w:numFmt w:val="bullet"/>
      <w:lvlText w:val="•"/>
      <w:lvlJc w:val="left"/>
      <w:pPr>
        <w:ind w:left="1828" w:hanging="361"/>
      </w:pPr>
      <w:rPr>
        <w:rFonts w:hint="default"/>
        <w:lang w:val="en-US" w:eastAsia="en-US" w:bidi="ar-SA"/>
      </w:rPr>
    </w:lvl>
    <w:lvl w:ilvl="2" w:tplc="31F4DDCE">
      <w:numFmt w:val="bullet"/>
      <w:lvlText w:val="•"/>
      <w:lvlJc w:val="left"/>
      <w:pPr>
        <w:ind w:left="2837" w:hanging="361"/>
      </w:pPr>
      <w:rPr>
        <w:rFonts w:hint="default"/>
        <w:lang w:val="en-US" w:eastAsia="en-US" w:bidi="ar-SA"/>
      </w:rPr>
    </w:lvl>
    <w:lvl w:ilvl="3" w:tplc="CEB2FD16">
      <w:numFmt w:val="bullet"/>
      <w:lvlText w:val="•"/>
      <w:lvlJc w:val="left"/>
      <w:pPr>
        <w:ind w:left="3845" w:hanging="361"/>
      </w:pPr>
      <w:rPr>
        <w:rFonts w:hint="default"/>
        <w:lang w:val="en-US" w:eastAsia="en-US" w:bidi="ar-SA"/>
      </w:rPr>
    </w:lvl>
    <w:lvl w:ilvl="4" w:tplc="EA7AC6DC">
      <w:numFmt w:val="bullet"/>
      <w:lvlText w:val="•"/>
      <w:lvlJc w:val="left"/>
      <w:pPr>
        <w:ind w:left="4854" w:hanging="361"/>
      </w:pPr>
      <w:rPr>
        <w:rFonts w:hint="default"/>
        <w:lang w:val="en-US" w:eastAsia="en-US" w:bidi="ar-SA"/>
      </w:rPr>
    </w:lvl>
    <w:lvl w:ilvl="5" w:tplc="7FC41BB2">
      <w:numFmt w:val="bullet"/>
      <w:lvlText w:val="•"/>
      <w:lvlJc w:val="left"/>
      <w:pPr>
        <w:ind w:left="5863" w:hanging="361"/>
      </w:pPr>
      <w:rPr>
        <w:rFonts w:hint="default"/>
        <w:lang w:val="en-US" w:eastAsia="en-US" w:bidi="ar-SA"/>
      </w:rPr>
    </w:lvl>
    <w:lvl w:ilvl="6" w:tplc="DF6489BE">
      <w:numFmt w:val="bullet"/>
      <w:lvlText w:val="•"/>
      <w:lvlJc w:val="left"/>
      <w:pPr>
        <w:ind w:left="6871" w:hanging="361"/>
      </w:pPr>
      <w:rPr>
        <w:rFonts w:hint="default"/>
        <w:lang w:val="en-US" w:eastAsia="en-US" w:bidi="ar-SA"/>
      </w:rPr>
    </w:lvl>
    <w:lvl w:ilvl="7" w:tplc="A642AE8C">
      <w:numFmt w:val="bullet"/>
      <w:lvlText w:val="•"/>
      <w:lvlJc w:val="left"/>
      <w:pPr>
        <w:ind w:left="7880" w:hanging="361"/>
      </w:pPr>
      <w:rPr>
        <w:rFonts w:hint="default"/>
        <w:lang w:val="en-US" w:eastAsia="en-US" w:bidi="ar-SA"/>
      </w:rPr>
    </w:lvl>
    <w:lvl w:ilvl="8" w:tplc="A588C9E8">
      <w:numFmt w:val="bullet"/>
      <w:lvlText w:val="•"/>
      <w:lvlJc w:val="left"/>
      <w:pPr>
        <w:ind w:left="8889" w:hanging="361"/>
      </w:pPr>
      <w:rPr>
        <w:rFonts w:hint="default"/>
        <w:lang w:val="en-US" w:eastAsia="en-US" w:bidi="ar-SA"/>
      </w:rPr>
    </w:lvl>
  </w:abstractNum>
  <w:num w:numId="1" w16cid:durableId="206918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FF"/>
    <w:rsid w:val="000719FF"/>
    <w:rsid w:val="000922DD"/>
    <w:rsid w:val="0017485F"/>
    <w:rsid w:val="00195FD9"/>
    <w:rsid w:val="003065A4"/>
    <w:rsid w:val="00323DE7"/>
    <w:rsid w:val="0032735E"/>
    <w:rsid w:val="0038131E"/>
    <w:rsid w:val="003A2394"/>
    <w:rsid w:val="004C2B4E"/>
    <w:rsid w:val="00515095"/>
    <w:rsid w:val="00532274"/>
    <w:rsid w:val="00554568"/>
    <w:rsid w:val="005D1D91"/>
    <w:rsid w:val="005D66B4"/>
    <w:rsid w:val="005F50E5"/>
    <w:rsid w:val="00612135"/>
    <w:rsid w:val="00805C57"/>
    <w:rsid w:val="00855233"/>
    <w:rsid w:val="00860065"/>
    <w:rsid w:val="008D2341"/>
    <w:rsid w:val="00971B4E"/>
    <w:rsid w:val="00A56FE0"/>
    <w:rsid w:val="00AF63E6"/>
    <w:rsid w:val="00B10F3E"/>
    <w:rsid w:val="00B561F4"/>
    <w:rsid w:val="00B922A9"/>
    <w:rsid w:val="00BB68C7"/>
    <w:rsid w:val="00BC5A39"/>
    <w:rsid w:val="00C504CC"/>
    <w:rsid w:val="00CB5DB4"/>
    <w:rsid w:val="00CC7AB1"/>
    <w:rsid w:val="00E0344E"/>
    <w:rsid w:val="00EE7D10"/>
    <w:rsid w:val="00EF1BDD"/>
    <w:rsid w:val="00F419F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7C99"/>
  <w15:docId w15:val="{B0A914B5-D96F-4E54-A912-4B27A931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7"/>
      <w:ind w:left="2303" w:right="2540"/>
      <w:jc w:val="center"/>
    </w:pPr>
    <w:rPr>
      <w:b/>
      <w:bCs/>
      <w:sz w:val="24"/>
      <w:szCs w:val="24"/>
    </w:rPr>
  </w:style>
  <w:style w:type="paragraph" w:styleId="ListParagraph">
    <w:name w:val="List Paragraph"/>
    <w:basedOn w:val="Normal"/>
    <w:uiPriority w:val="1"/>
    <w:qFormat/>
    <w:pPr>
      <w:ind w:left="820" w:right="111" w:hanging="361"/>
      <w:jc w:val="both"/>
    </w:pPr>
  </w:style>
  <w:style w:type="paragraph" w:customStyle="1" w:styleId="TableParagraph">
    <w:name w:val="Table Paragraph"/>
    <w:basedOn w:val="Normal"/>
    <w:uiPriority w:val="1"/>
    <w:qFormat/>
    <w:pPr>
      <w:spacing w:before="118"/>
      <w:ind w:left="50"/>
    </w:pPr>
  </w:style>
  <w:style w:type="character" w:styleId="Hyperlink">
    <w:name w:val="Hyperlink"/>
    <w:basedOn w:val="DefaultParagraphFont"/>
    <w:uiPriority w:val="99"/>
    <w:unhideWhenUsed/>
    <w:rsid w:val="00A56FE0"/>
    <w:rPr>
      <w:color w:val="0000FF" w:themeColor="hyperlink"/>
      <w:u w:val="single"/>
    </w:rPr>
  </w:style>
  <w:style w:type="character" w:styleId="UnresolvedMention">
    <w:name w:val="Unresolved Mention"/>
    <w:basedOn w:val="DefaultParagraphFont"/>
    <w:uiPriority w:val="99"/>
    <w:semiHidden/>
    <w:unhideWhenUsed/>
    <w:rsid w:val="00A56FE0"/>
    <w:rPr>
      <w:color w:val="605E5C"/>
      <w:shd w:val="clear" w:color="auto" w:fill="E1DFDD"/>
    </w:rPr>
  </w:style>
  <w:style w:type="character" w:styleId="FollowedHyperlink">
    <w:name w:val="FollowedHyperlink"/>
    <w:basedOn w:val="DefaultParagraphFont"/>
    <w:uiPriority w:val="99"/>
    <w:semiHidden/>
    <w:unhideWhenUsed/>
    <w:rsid w:val="00195FD9"/>
    <w:rPr>
      <w:color w:val="800080" w:themeColor="followedHyperlink"/>
      <w:u w:val="single"/>
    </w:rPr>
  </w:style>
  <w:style w:type="paragraph" w:styleId="Footer">
    <w:name w:val="footer"/>
    <w:basedOn w:val="Normal"/>
    <w:link w:val="FooterChar"/>
    <w:uiPriority w:val="99"/>
    <w:unhideWhenUsed/>
    <w:rsid w:val="00612135"/>
    <w:pPr>
      <w:tabs>
        <w:tab w:val="center" w:pos="4513"/>
        <w:tab w:val="right" w:pos="9026"/>
      </w:tabs>
    </w:pPr>
  </w:style>
  <w:style w:type="character" w:customStyle="1" w:styleId="FooterChar">
    <w:name w:val="Footer Char"/>
    <w:basedOn w:val="DefaultParagraphFont"/>
    <w:link w:val="Footer"/>
    <w:uiPriority w:val="99"/>
    <w:rsid w:val="00612135"/>
    <w:rPr>
      <w:rFonts w:ascii="Arial" w:eastAsia="Arial" w:hAnsi="Arial" w:cs="Arial"/>
    </w:rPr>
  </w:style>
  <w:style w:type="paragraph" w:styleId="NoSpacing">
    <w:name w:val="No Spacing"/>
    <w:uiPriority w:val="1"/>
    <w:qFormat/>
    <w:rsid w:val="00B561F4"/>
    <w:rPr>
      <w:rFonts w:ascii="Arial" w:eastAsia="Arial" w:hAnsi="Arial" w:cs="Arial"/>
    </w:rPr>
  </w:style>
  <w:style w:type="paragraph" w:styleId="Header">
    <w:name w:val="header"/>
    <w:basedOn w:val="Normal"/>
    <w:link w:val="HeaderChar"/>
    <w:uiPriority w:val="99"/>
    <w:unhideWhenUsed/>
    <w:rsid w:val="00C504CC"/>
    <w:pPr>
      <w:tabs>
        <w:tab w:val="center" w:pos="4513"/>
        <w:tab w:val="right" w:pos="9026"/>
      </w:tabs>
    </w:pPr>
  </w:style>
  <w:style w:type="character" w:customStyle="1" w:styleId="HeaderChar">
    <w:name w:val="Header Char"/>
    <w:basedOn w:val="DefaultParagraphFont"/>
    <w:link w:val="Header"/>
    <w:uiPriority w:val="99"/>
    <w:rsid w:val="00C504C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fid2@natwestmarket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natwest.com/regulatory-information/mifid-2/foreign-exchange-means-of-payment-exclus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andbook.fca.org.uk/handbook/PERG/13/4.html" TargetMode="External"/><Relationship Id="rId4" Type="http://schemas.openxmlformats.org/officeDocument/2006/relationships/webSettings" Target="webSettings.xml"/><Relationship Id="rId9" Type="http://schemas.openxmlformats.org/officeDocument/2006/relationships/hyperlink" Target="https://ci.natwest.com/regulatory-information/mifid-2/foreign-exchange-means-of-payment-exclusio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sutclur</dc:creator>
  <cp:lastModifiedBy>Kumar, Rajesh (NatWest Markets)</cp:lastModifiedBy>
  <cp:revision>2</cp:revision>
  <dcterms:created xsi:type="dcterms:W3CDTF">2025-11-06T18:25:00Z</dcterms:created>
  <dcterms:modified xsi:type="dcterms:W3CDTF">2025-11-06T18:25:00Z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464f73f5,278bc7,465bb49a</vt:lpwstr>
  </property>
  <property fmtid="{D5CDD505-2E9C-101B-9397-08002B2CF9AE}" pid="3" name="ClassificationContentMarkingFooterFontProps">
    <vt:lpwstr>#000000,11,Calibri</vt:lpwstr>
  </property>
  <property fmtid="{D5CDD505-2E9C-101B-9397-08002B2CF9AE}" pid="4" name="ClassificationContentMarkingFooterText">
    <vt:lpwstr>Information Classification - Restricted</vt:lpwstr>
  </property>
  <property fmtid="{D5CDD505-2E9C-101B-9397-08002B2CF9AE}" pid="5" name="MSIP_Label_b59aeb30-a57c-43c8-b724-82722089b0f7_Enabled">
    <vt:lpwstr>true</vt:lpwstr>
  </property>
  <property fmtid="{D5CDD505-2E9C-101B-9397-08002B2CF9AE}" pid="6" name="MSIP_Label_b59aeb30-a57c-43c8-b724-82722089b0f7_SetDate">
    <vt:lpwstr>2025-10-28T08:42:45Z</vt:lpwstr>
  </property>
  <property fmtid="{D5CDD505-2E9C-101B-9397-08002B2CF9AE}" pid="7" name="MSIP_Label_b59aeb30-a57c-43c8-b724-82722089b0f7_Method">
    <vt:lpwstr>Privileged</vt:lpwstr>
  </property>
  <property fmtid="{D5CDD505-2E9C-101B-9397-08002B2CF9AE}" pid="8" name="MSIP_Label_b59aeb30-a57c-43c8-b724-82722089b0f7_Name">
    <vt:lpwstr>Internal</vt:lpwstr>
  </property>
  <property fmtid="{D5CDD505-2E9C-101B-9397-08002B2CF9AE}" pid="9" name="MSIP_Label_b59aeb30-a57c-43c8-b724-82722089b0f7_SiteId">
    <vt:lpwstr>7c917db0-71f2-438e-9554-388ffcab8764</vt:lpwstr>
  </property>
  <property fmtid="{D5CDD505-2E9C-101B-9397-08002B2CF9AE}" pid="10" name="MSIP_Label_b59aeb30-a57c-43c8-b724-82722089b0f7_ActionId">
    <vt:lpwstr>9a3b6889-bacd-4c99-a5dc-4f304a8e0733</vt:lpwstr>
  </property>
  <property fmtid="{D5CDD505-2E9C-101B-9397-08002B2CF9AE}" pid="11" name="MSIP_Label_b59aeb30-a57c-43c8-b724-82722089b0f7_ContentBits">
    <vt:lpwstr>2</vt:lpwstr>
  </property>
  <property fmtid="{D5CDD505-2E9C-101B-9397-08002B2CF9AE}" pid="12" name="MSIP_Label_b59aeb30-a57c-43c8-b724-82722089b0f7_Tag">
    <vt:lpwstr>10, 0, 1, 1</vt:lpwstr>
  </property>
</Properties>
</file>